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23829" w14:textId="77777777" w:rsidR="00632CFD" w:rsidRPr="00654C23" w:rsidRDefault="00632CFD" w:rsidP="00585A6C">
      <w:pPr>
        <w:jc w:val="both"/>
        <w:rPr>
          <w:rFonts w:ascii="Times New Roman" w:hAnsi="Times New Roman" w:cs="Times New Roman"/>
          <w:b/>
          <w:bCs/>
          <w:sz w:val="28"/>
          <w:szCs w:val="28"/>
        </w:rPr>
      </w:pPr>
      <w:r w:rsidRPr="00FC70C2">
        <w:rPr>
          <w:rFonts w:ascii="Times New Roman" w:hAnsi="Times New Roman" w:cs="Times New Roman"/>
          <w:b/>
          <w:bCs/>
          <w:sz w:val="28"/>
          <w:szCs w:val="28"/>
        </w:rPr>
        <w:t>Regional variation of total polyphenol content and dry matter in BOPF black tea from selected Sri Lankan tea-growing regions</w:t>
      </w:r>
    </w:p>
    <w:p w14:paraId="0F1D6CB9" w14:textId="1FCADF17" w:rsidR="00645CE3" w:rsidRDefault="00645CE3" w:rsidP="00585A6C">
      <w:pPr>
        <w:jc w:val="both"/>
        <w:rPr>
          <w:rFonts w:ascii="Times New Roman" w:hAnsi="Times New Roman" w:cs="Times New Roman"/>
        </w:rPr>
      </w:pPr>
    </w:p>
    <w:p w14:paraId="09B4E6F4" w14:textId="77777777" w:rsidR="00882233" w:rsidRPr="00882233" w:rsidRDefault="00882233" w:rsidP="00585A6C">
      <w:pPr>
        <w:jc w:val="both"/>
        <w:rPr>
          <w:rFonts w:ascii="Times New Roman" w:hAnsi="Times New Roman" w:cs="Times New Roman"/>
          <w:b/>
          <w:bCs/>
        </w:rPr>
      </w:pPr>
      <w:r w:rsidRPr="00882233">
        <w:rPr>
          <w:rFonts w:ascii="Times New Roman" w:hAnsi="Times New Roman" w:cs="Times New Roman"/>
          <w:b/>
          <w:bCs/>
        </w:rPr>
        <w:t>Introduction</w:t>
      </w:r>
    </w:p>
    <w:p w14:paraId="5279BDBA" w14:textId="0C892C55" w:rsidR="00AB72CF" w:rsidRDefault="00641758" w:rsidP="00585A6C">
      <w:pPr>
        <w:jc w:val="both"/>
        <w:rPr>
          <w:rFonts w:ascii="Times New Roman" w:hAnsi="Times New Roman" w:cs="Times New Roman"/>
        </w:rPr>
      </w:pPr>
      <w:r w:rsidRPr="00641758">
        <w:rPr>
          <w:rFonts w:ascii="Times New Roman" w:hAnsi="Times New Roman" w:cs="Times New Roman"/>
        </w:rPr>
        <w:t>Tea (</w:t>
      </w:r>
      <w:r w:rsidRPr="00FF32CB">
        <w:rPr>
          <w:rFonts w:ascii="Times New Roman" w:hAnsi="Times New Roman" w:cs="Times New Roman"/>
          <w:i/>
          <w:iCs/>
        </w:rPr>
        <w:t>Camellia sinensis L</w:t>
      </w:r>
      <w:r w:rsidRPr="00641758">
        <w:rPr>
          <w:rFonts w:ascii="Times New Roman" w:hAnsi="Times New Roman" w:cs="Times New Roman"/>
        </w:rPr>
        <w:t>.)</w:t>
      </w:r>
      <w:r>
        <w:rPr>
          <w:rFonts w:ascii="Times New Roman" w:hAnsi="Times New Roman" w:cs="Times New Roman"/>
        </w:rPr>
        <w:t xml:space="preserve"> is one of the most consumed beverages in the world</w:t>
      </w:r>
      <w:r w:rsidR="006A2238">
        <w:rPr>
          <w:rFonts w:ascii="Times New Roman" w:hAnsi="Times New Roman" w:cs="Times New Roman"/>
        </w:rPr>
        <w:t xml:space="preserve"> that is popular for both its unique aroma and taste as well as for health </w:t>
      </w:r>
      <w:r w:rsidR="00D54583">
        <w:rPr>
          <w:rFonts w:ascii="Times New Roman" w:hAnsi="Times New Roman" w:cs="Times New Roman"/>
        </w:rPr>
        <w:t>benefits. The</w:t>
      </w:r>
      <w:r w:rsidR="00D6493E">
        <w:rPr>
          <w:rFonts w:ascii="Times New Roman" w:hAnsi="Times New Roman" w:cs="Times New Roman"/>
        </w:rPr>
        <w:t xml:space="preserve"> </w:t>
      </w:r>
      <w:r w:rsidR="00D6493E" w:rsidRPr="00D6493E">
        <w:rPr>
          <w:rFonts w:ascii="Times New Roman" w:hAnsi="Times New Roman" w:cs="Times New Roman"/>
        </w:rPr>
        <w:t>abundance of po</w:t>
      </w:r>
      <w:r w:rsidR="003A1B7D">
        <w:rPr>
          <w:rFonts w:ascii="Times New Roman" w:hAnsi="Times New Roman" w:cs="Times New Roman"/>
        </w:rPr>
        <w:t>l</w:t>
      </w:r>
      <w:r w:rsidR="00D6493E" w:rsidRPr="00D6493E">
        <w:rPr>
          <w:rFonts w:ascii="Times New Roman" w:hAnsi="Times New Roman" w:cs="Times New Roman"/>
        </w:rPr>
        <w:t xml:space="preserve">yphenolic compounds </w:t>
      </w:r>
      <w:r w:rsidR="00D6493E">
        <w:rPr>
          <w:rFonts w:ascii="Times New Roman" w:hAnsi="Times New Roman" w:cs="Times New Roman"/>
        </w:rPr>
        <w:t xml:space="preserve">present in tea leaves largely </w:t>
      </w:r>
      <w:r w:rsidR="00D54583">
        <w:rPr>
          <w:rFonts w:ascii="Times New Roman" w:hAnsi="Times New Roman" w:cs="Times New Roman"/>
        </w:rPr>
        <w:t>contributes</w:t>
      </w:r>
      <w:r w:rsidR="00D6493E">
        <w:rPr>
          <w:rFonts w:ascii="Times New Roman" w:hAnsi="Times New Roman" w:cs="Times New Roman"/>
        </w:rPr>
        <w:t xml:space="preserve"> to these properties.</w:t>
      </w:r>
      <w:r w:rsidR="00913D65" w:rsidRPr="00913D65">
        <w:rPr>
          <w:rFonts w:ascii="Times New Roman" w:hAnsi="Times New Roman" w:cs="Times New Roman"/>
        </w:rPr>
        <w:t xml:space="preserve"> The predominant secondary metabolites are polyphenols, especially flavanols (catechins), which can make up as much as 30% of the dry weight of the tea.</w:t>
      </w:r>
      <w:r w:rsidR="00913D65">
        <w:rPr>
          <w:rFonts w:ascii="Times New Roman" w:hAnsi="Times New Roman" w:cs="Times New Roman"/>
        </w:rPr>
        <w:t xml:space="preserve"> </w:t>
      </w:r>
      <w:r w:rsidR="00913D65" w:rsidRPr="00913D65">
        <w:rPr>
          <w:rFonts w:ascii="Times New Roman" w:hAnsi="Times New Roman" w:cs="Times New Roman"/>
        </w:rPr>
        <w:t xml:space="preserve">These substances are potent natural antioxidants that are linked to the prevention of several non-communicable diseases because of their capacity to scavenge free </w:t>
      </w:r>
      <w:r w:rsidR="002E3515" w:rsidRPr="00913D65">
        <w:rPr>
          <w:rFonts w:ascii="Times New Roman" w:hAnsi="Times New Roman" w:cs="Times New Roman"/>
        </w:rPr>
        <w:t>radicals</w:t>
      </w:r>
      <w:r w:rsidR="002E3515">
        <w:rPr>
          <w:rFonts w:ascii="Times New Roman" w:hAnsi="Times New Roman" w:cs="Times New Roman"/>
        </w:rPr>
        <w:t>.</w:t>
      </w:r>
      <w:r w:rsidR="00466552">
        <w:rPr>
          <w:rFonts w:ascii="Times New Roman" w:hAnsi="Times New Roman" w:cs="Times New Roman"/>
        </w:rPr>
        <w:t xml:space="preserve"> </w:t>
      </w:r>
      <w:r w:rsidR="002E3515">
        <w:rPr>
          <w:rFonts w:ascii="Times New Roman" w:hAnsi="Times New Roman" w:cs="Times New Roman"/>
        </w:rPr>
        <w:t xml:space="preserve">So, the </w:t>
      </w:r>
      <w:r w:rsidR="00C0137C">
        <w:rPr>
          <w:rFonts w:ascii="Times New Roman" w:hAnsi="Times New Roman" w:cs="Times New Roman"/>
        </w:rPr>
        <w:t>T</w:t>
      </w:r>
      <w:r w:rsidR="002E3515" w:rsidRPr="002E3515">
        <w:rPr>
          <w:rFonts w:ascii="Times New Roman" w:hAnsi="Times New Roman" w:cs="Times New Roman"/>
        </w:rPr>
        <w:t xml:space="preserve">otal </w:t>
      </w:r>
      <w:r w:rsidR="00C0137C">
        <w:rPr>
          <w:rFonts w:ascii="Times New Roman" w:hAnsi="Times New Roman" w:cs="Times New Roman"/>
        </w:rPr>
        <w:t>P</w:t>
      </w:r>
      <w:r w:rsidR="002E3515" w:rsidRPr="002E3515">
        <w:rPr>
          <w:rFonts w:ascii="Times New Roman" w:hAnsi="Times New Roman" w:cs="Times New Roman"/>
        </w:rPr>
        <w:t>olyphenol Content</w:t>
      </w:r>
      <w:r w:rsidR="002E3515">
        <w:rPr>
          <w:rFonts w:ascii="Times New Roman" w:hAnsi="Times New Roman" w:cs="Times New Roman"/>
        </w:rPr>
        <w:t xml:space="preserve"> quantifying is</w:t>
      </w:r>
      <w:r w:rsidR="007E40D5" w:rsidRPr="007E40D5">
        <w:rPr>
          <w:rFonts w:ascii="Times New Roman" w:hAnsi="Times New Roman" w:cs="Times New Roman"/>
        </w:rPr>
        <w:t xml:space="preserve"> an essential </w:t>
      </w:r>
      <w:r w:rsidR="00466552" w:rsidRPr="00466552">
        <w:rPr>
          <w:rFonts w:ascii="Times New Roman" w:hAnsi="Times New Roman" w:cs="Times New Roman"/>
        </w:rPr>
        <w:t>chemical parameter used to evaluate and standardize tea quality</w:t>
      </w:r>
      <w:r w:rsidR="00466552">
        <w:rPr>
          <w:rFonts w:ascii="Times New Roman" w:hAnsi="Times New Roman" w:cs="Times New Roman"/>
        </w:rPr>
        <w:t>.</w:t>
      </w:r>
      <w:sdt>
        <w:sdtPr>
          <w:rPr>
            <w:rFonts w:ascii="Times New Roman" w:hAnsi="Times New Roman" w:cs="Times New Roman"/>
            <w:color w:val="000000"/>
          </w:rPr>
          <w:tag w:val="MENDELEY_CITATION_v3_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"/>
          <w:id w:val="1227875119"/>
          <w:placeholder>
            <w:docPart w:val="DefaultPlaceholder_-1854013440"/>
          </w:placeholder>
        </w:sdtPr>
        <w:sdtContent>
          <w:r w:rsidR="008B06D4" w:rsidRPr="008B06D4">
            <w:rPr>
              <w:rFonts w:ascii="Times New Roman" w:hAnsi="Times New Roman" w:cs="Times New Roman"/>
              <w:color w:val="000000"/>
            </w:rPr>
            <w:t>(Zhang et al., 2018)</w:t>
          </w:r>
        </w:sdtContent>
      </w:sdt>
    </w:p>
    <w:p w14:paraId="1EB7DE23" w14:textId="242B4DF8" w:rsidR="00B51A70" w:rsidRDefault="008A4E40" w:rsidP="00585A6C">
      <w:pPr>
        <w:jc w:val="both"/>
        <w:rPr>
          <w:rFonts w:ascii="Times New Roman" w:hAnsi="Times New Roman" w:cs="Times New Roman"/>
        </w:rPr>
      </w:pPr>
      <w:r w:rsidRPr="008A4E40">
        <w:rPr>
          <w:rFonts w:ascii="Times New Roman" w:hAnsi="Times New Roman" w:cs="Times New Roman"/>
        </w:rPr>
        <w:t xml:space="preserve">This study examines the biochemical diversity within Sri Lanka's internationally recognized tea </w:t>
      </w:r>
      <w:r w:rsidR="0027758C" w:rsidRPr="008A4E40">
        <w:rPr>
          <w:rFonts w:ascii="Times New Roman" w:hAnsi="Times New Roman" w:cs="Times New Roman"/>
        </w:rPr>
        <w:t>industry</w:t>
      </w:r>
      <w:r w:rsidR="0027758C">
        <w:rPr>
          <w:rFonts w:ascii="Times New Roman" w:hAnsi="Times New Roman" w:cs="Times New Roman"/>
        </w:rPr>
        <w:t>,</w:t>
      </w:r>
      <w:r w:rsidR="00027352" w:rsidRPr="008A4E40">
        <w:rPr>
          <w:rFonts w:ascii="Times New Roman" w:hAnsi="Times New Roman" w:cs="Times New Roman"/>
        </w:rPr>
        <w:t xml:space="preserve"> </w:t>
      </w:r>
      <w:r w:rsidR="00027352">
        <w:rPr>
          <w:rFonts w:ascii="Times New Roman" w:hAnsi="Times New Roman" w:cs="Times New Roman"/>
        </w:rPr>
        <w:t xml:space="preserve">focusing </w:t>
      </w:r>
      <w:r w:rsidR="00027352" w:rsidRPr="00027352">
        <w:rPr>
          <w:rFonts w:ascii="Times New Roman" w:hAnsi="Times New Roman" w:cs="Times New Roman"/>
        </w:rPr>
        <w:t>on five different geographical tea region</w:t>
      </w:r>
      <w:r w:rsidR="004A1202">
        <w:rPr>
          <w:rFonts w:ascii="Times New Roman" w:hAnsi="Times New Roman" w:cs="Times New Roman"/>
        </w:rPr>
        <w:t xml:space="preserve">s: </w:t>
      </w:r>
      <w:r w:rsidR="00027352" w:rsidRPr="00027352">
        <w:rPr>
          <w:rFonts w:ascii="Times New Roman" w:hAnsi="Times New Roman" w:cs="Times New Roman"/>
        </w:rPr>
        <w:t>Sabaragamuwa, Ruhuna, Uva, Udu Pussellawa, and Dimbula</w:t>
      </w:r>
      <w:r w:rsidR="00027352">
        <w:rPr>
          <w:rFonts w:ascii="Times New Roman" w:hAnsi="Times New Roman" w:cs="Times New Roman"/>
        </w:rPr>
        <w:t>.</w:t>
      </w:r>
      <w:r w:rsidR="00497BC8" w:rsidRPr="00497BC8">
        <w:t xml:space="preserve"> </w:t>
      </w:r>
      <w:r w:rsidR="00497BC8" w:rsidRPr="00497BC8">
        <w:rPr>
          <w:rFonts w:ascii="Times New Roman" w:hAnsi="Times New Roman" w:cs="Times New Roman"/>
        </w:rPr>
        <w:t>These regions represent all of Sri Lanka's tea elevations, from the mid- and high-grown hills (Uva, Udu Pussellawa,</w:t>
      </w:r>
      <w:r w:rsidR="000007FC">
        <w:rPr>
          <w:rFonts w:ascii="Times New Roman" w:hAnsi="Times New Roman" w:cs="Times New Roman"/>
        </w:rPr>
        <w:t xml:space="preserve"> </w:t>
      </w:r>
      <w:r w:rsidR="00497BC8" w:rsidRPr="00497BC8">
        <w:rPr>
          <w:rFonts w:ascii="Times New Roman" w:hAnsi="Times New Roman" w:cs="Times New Roman"/>
        </w:rPr>
        <w:t>Dimbula) to the low-grown plains (Ruhuna, Sabaragamuwa).</w:t>
      </w:r>
    </w:p>
    <w:p w14:paraId="3A157D1B" w14:textId="77777777" w:rsidR="00A139FA" w:rsidRDefault="00B51A70" w:rsidP="00585A6C">
      <w:pPr>
        <w:jc w:val="both"/>
        <w:rPr>
          <w:rFonts w:ascii="Times New Roman" w:hAnsi="Times New Roman" w:cs="Times New Roman"/>
        </w:rPr>
      </w:pPr>
      <w:r w:rsidRPr="00B51A70">
        <w:rPr>
          <w:rFonts w:ascii="Times New Roman" w:hAnsi="Times New Roman" w:cs="Times New Roman"/>
        </w:rPr>
        <w:t xml:space="preserve">The Broken Orange Pekoe Fannings (BOPF) grade, which </w:t>
      </w:r>
      <w:r w:rsidR="0035222D">
        <w:rPr>
          <w:rFonts w:ascii="Times New Roman" w:hAnsi="Times New Roman" w:cs="Times New Roman"/>
        </w:rPr>
        <w:t xml:space="preserve">consists </w:t>
      </w:r>
      <w:r w:rsidRPr="00B51A70">
        <w:rPr>
          <w:rFonts w:ascii="Times New Roman" w:hAnsi="Times New Roman" w:cs="Times New Roman"/>
        </w:rPr>
        <w:t>of small, broken leaf particles, is the focus of this study. Because of its quick-brewing qualities and use in tea bags and commercial blends, BOPF is one of Sri Lanka's most commercially significant and widely used tea grades. As such, its chemical composition is highly relevant to the mass market.</w:t>
      </w:r>
    </w:p>
    <w:p w14:paraId="40E87567" w14:textId="51914D7A" w:rsidR="00585A6C" w:rsidRDefault="00A139FA" w:rsidP="00585A6C">
      <w:pPr>
        <w:jc w:val="both"/>
        <w:rPr>
          <w:rFonts w:ascii="Times New Roman" w:hAnsi="Times New Roman" w:cs="Times New Roman"/>
        </w:rPr>
      </w:pPr>
      <w:r w:rsidRPr="00A139FA">
        <w:rPr>
          <w:rFonts w:ascii="Times New Roman" w:hAnsi="Times New Roman" w:cs="Times New Roman"/>
        </w:rPr>
        <w:t xml:space="preserve">It is widely recognized that certain </w:t>
      </w:r>
      <w:proofErr w:type="spellStart"/>
      <w:r w:rsidRPr="00A139FA">
        <w:rPr>
          <w:rFonts w:ascii="Times New Roman" w:hAnsi="Times New Roman" w:cs="Times New Roman"/>
        </w:rPr>
        <w:t>agro</w:t>
      </w:r>
      <w:proofErr w:type="spellEnd"/>
      <w:r w:rsidRPr="00A139FA">
        <w:rPr>
          <w:rFonts w:ascii="Times New Roman" w:hAnsi="Times New Roman" w:cs="Times New Roman"/>
        </w:rPr>
        <w:t>-climatic factors are the primary contributors to the variation in TPC across these regions. Variations in altitude and elevation result in different environmental conditions: higher elevations, such as Dimbula, usually have lower temperatures and more solar and UV radiation, which can act as stressors and encourage the biosynthetic pathways for polyphenol accumulation as a defense mechanism. On the other hand, higher temperatures and rainfall in lower-grown areas (such as Ruhuna and Sabaragamuwa) have an impact on the plant's growth rate and metabolite partitioning. The distinctive chemical fingerprint of tea from each region is also influenced by regional differences in soil composition, humidity, and particular weather patterns (such as the distinct monsoonal winds that affect Uva tea during certain seasons).</w:t>
      </w:r>
      <w:sdt>
        <w:sdtPr>
          <w:rPr>
            <w:rFonts w:ascii="Times New Roman" w:hAnsi="Times New Roman" w:cs="Times New Roman"/>
            <w:color w:val="000000"/>
          </w:rPr>
          <w:tag w:val="MENDELEY_CITATION_v3_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"/>
          <w:id w:val="-1935739969"/>
          <w:placeholder>
            <w:docPart w:val="DefaultPlaceholder_-1854013440"/>
          </w:placeholder>
        </w:sdtPr>
        <w:sdtContent>
          <w:r w:rsidR="008B06D4" w:rsidRPr="008B06D4">
            <w:rPr>
              <w:rFonts w:ascii="Times New Roman" w:hAnsi="Times New Roman" w:cs="Times New Roman"/>
              <w:color w:val="000000"/>
            </w:rPr>
            <w:t>(Jayasekera et al., 2011)</w:t>
          </w:r>
        </w:sdtContent>
      </w:sdt>
    </w:p>
    <w:p w14:paraId="3BB839FA" w14:textId="16CFA6F8" w:rsidR="00C17A1C" w:rsidRDefault="00C17A1C" w:rsidP="00585A6C">
      <w:pPr>
        <w:jc w:val="both"/>
        <w:rPr>
          <w:rFonts w:ascii="Times New Roman" w:hAnsi="Times New Roman" w:cs="Times New Roman"/>
        </w:rPr>
      </w:pPr>
      <w:r w:rsidRPr="00C17A1C">
        <w:rPr>
          <w:rFonts w:ascii="Times New Roman" w:hAnsi="Times New Roman" w:cs="Times New Roman"/>
        </w:rPr>
        <w:t xml:space="preserve">Because different regions have similar sensory and chemical traits, it is still difficult to accurately determine the geographical origin of tea. Comprehensive regional datasets based on measurable physicochemical parameters are needed to create an analytical tool that can accurately identify the origin of tea. By producing region-specific baseline data on the dry matter and total polyphenol </w:t>
      </w:r>
      <w:r w:rsidRPr="00C17A1C">
        <w:rPr>
          <w:rFonts w:ascii="Times New Roman" w:hAnsi="Times New Roman" w:cs="Times New Roman"/>
        </w:rPr>
        <w:lastRenderedPageBreak/>
        <w:t>content of BOPF black tea, this study fills this gap and provides crucial chemical inputs for future integration with color, aroma, caffeine, and multivariate sensing systems.</w:t>
      </w:r>
    </w:p>
    <w:p w14:paraId="74CE3F5A" w14:textId="2D76C821" w:rsidR="008C5033" w:rsidRPr="00601523" w:rsidRDefault="008C5033" w:rsidP="00585A6C">
      <w:pPr>
        <w:jc w:val="both"/>
        <w:rPr>
          <w:rFonts w:ascii="Times New Roman" w:hAnsi="Times New Roman" w:cs="Times New Roman"/>
        </w:rPr>
      </w:pPr>
      <w:r w:rsidRPr="008C5033">
        <w:rPr>
          <w:rFonts w:ascii="Times New Roman" w:hAnsi="Times New Roman" w:cs="Times New Roman"/>
          <w:b/>
          <w:bCs/>
        </w:rPr>
        <w:t>Materials and Methods</w:t>
      </w:r>
    </w:p>
    <w:p w14:paraId="48BD7006" w14:textId="0963C75B" w:rsidR="0054051D" w:rsidRPr="00562B12" w:rsidRDefault="00102796" w:rsidP="00585A6C">
      <w:pPr>
        <w:jc w:val="both"/>
        <w:rPr>
          <w:rFonts w:ascii="Times New Roman" w:hAnsi="Times New Roman" w:cs="Times New Roman"/>
          <w:b/>
          <w:bCs/>
        </w:rPr>
      </w:pPr>
      <w:r w:rsidRPr="00562B12">
        <w:rPr>
          <w:rFonts w:ascii="Times New Roman" w:hAnsi="Times New Roman" w:cs="Times New Roman"/>
          <w:b/>
          <w:bCs/>
        </w:rPr>
        <w:t>1.</w:t>
      </w:r>
      <w:r w:rsidR="00EF2794" w:rsidRPr="00562B12">
        <w:rPr>
          <w:rFonts w:ascii="Times New Roman" w:hAnsi="Times New Roman" w:cs="Times New Roman"/>
          <w:b/>
          <w:bCs/>
        </w:rPr>
        <w:t xml:space="preserve"> </w:t>
      </w:r>
      <w:r w:rsidR="00670D49" w:rsidRPr="00562B12">
        <w:rPr>
          <w:rFonts w:ascii="Times New Roman" w:hAnsi="Times New Roman" w:cs="Times New Roman"/>
          <w:b/>
          <w:bCs/>
        </w:rPr>
        <w:t xml:space="preserve">Sample </w:t>
      </w:r>
      <w:r w:rsidR="0054051D" w:rsidRPr="00562B12">
        <w:rPr>
          <w:rFonts w:ascii="Times New Roman" w:hAnsi="Times New Roman" w:cs="Times New Roman"/>
          <w:b/>
          <w:bCs/>
        </w:rPr>
        <w:t>collection:</w:t>
      </w:r>
    </w:p>
    <w:p w14:paraId="4E250655" w14:textId="55B2D5B5" w:rsidR="00557C57" w:rsidRDefault="00094ABF" w:rsidP="00585A6C">
      <w:pPr>
        <w:jc w:val="both"/>
        <w:rPr>
          <w:rFonts w:ascii="Times New Roman" w:hAnsi="Times New Roman" w:cs="Times New Roman"/>
        </w:rPr>
      </w:pPr>
      <w:r w:rsidRPr="00094ABF">
        <w:rPr>
          <w:rFonts w:ascii="Times New Roman" w:hAnsi="Times New Roman" w:cs="Times New Roman"/>
        </w:rPr>
        <w:t xml:space="preserve">The </w:t>
      </w:r>
      <w:r w:rsidR="00AB22A1">
        <w:rPr>
          <w:rFonts w:ascii="Times New Roman" w:hAnsi="Times New Roman" w:cs="Times New Roman"/>
        </w:rPr>
        <w:t>B</w:t>
      </w:r>
      <w:r w:rsidRPr="00094ABF">
        <w:rPr>
          <w:rFonts w:ascii="Times New Roman" w:hAnsi="Times New Roman" w:cs="Times New Roman"/>
        </w:rPr>
        <w:t xml:space="preserve">OPF grade black tea samples were </w:t>
      </w:r>
      <w:r w:rsidR="00AB22A1">
        <w:rPr>
          <w:rFonts w:ascii="Times New Roman" w:hAnsi="Times New Roman" w:cs="Times New Roman"/>
        </w:rPr>
        <w:t>collected</w:t>
      </w:r>
      <w:r w:rsidRPr="00094ABF">
        <w:rPr>
          <w:rFonts w:ascii="Times New Roman" w:hAnsi="Times New Roman" w:cs="Times New Roman"/>
        </w:rPr>
        <w:t xml:space="preserve"> from five of the main regions in Sri Lanka</w:t>
      </w:r>
      <w:r w:rsidR="00557C57">
        <w:rPr>
          <w:rFonts w:ascii="Times New Roman" w:hAnsi="Times New Roman" w:cs="Times New Roman"/>
        </w:rPr>
        <w:t>:</w:t>
      </w:r>
      <w:r w:rsidRPr="00094ABF">
        <w:rPr>
          <w:rFonts w:ascii="Times New Roman" w:hAnsi="Times New Roman" w:cs="Times New Roman"/>
        </w:rPr>
        <w:t xml:space="preserve"> Sabaragamuwa, Dimbula, Ruhuna, Udu Pussellawa, and Uva.</w:t>
      </w:r>
      <w:r w:rsidR="00557C57" w:rsidRPr="00557C57">
        <w:t xml:space="preserve"> </w:t>
      </w:r>
      <w:r w:rsidR="00557C57" w:rsidRPr="00557C57">
        <w:rPr>
          <w:rFonts w:ascii="Times New Roman" w:hAnsi="Times New Roman" w:cs="Times New Roman"/>
        </w:rPr>
        <w:t>To prevent bias caused by the differences in processing at individual factories, the tea samples were taken from ten different factories in each region</w:t>
      </w:r>
      <w:r w:rsidR="00557C57">
        <w:rPr>
          <w:rFonts w:ascii="Times New Roman" w:hAnsi="Times New Roman" w:cs="Times New Roman"/>
        </w:rPr>
        <w:t>,</w:t>
      </w:r>
      <w:r w:rsidR="00557C57" w:rsidRPr="00557C57">
        <w:rPr>
          <w:rFonts w:ascii="Times New Roman" w:hAnsi="Times New Roman" w:cs="Times New Roman"/>
        </w:rPr>
        <w:t xml:space="preserve"> and thus</w:t>
      </w:r>
      <w:r w:rsidR="00557C57">
        <w:rPr>
          <w:rFonts w:ascii="Times New Roman" w:hAnsi="Times New Roman" w:cs="Times New Roman"/>
        </w:rPr>
        <w:t>,</w:t>
      </w:r>
      <w:r w:rsidR="00557C57" w:rsidRPr="00557C57">
        <w:rPr>
          <w:rFonts w:ascii="Times New Roman" w:hAnsi="Times New Roman" w:cs="Times New Roman"/>
        </w:rPr>
        <w:t xml:space="preserve"> representative sampling was ensured. All the samples were kept in a dry place before being analyzed. </w:t>
      </w:r>
    </w:p>
    <w:p w14:paraId="4E8E4504" w14:textId="68091EAD" w:rsidR="00BD212D" w:rsidRPr="00562B12" w:rsidRDefault="00102796" w:rsidP="00C6741A">
      <w:pPr>
        <w:jc w:val="both"/>
        <w:rPr>
          <w:rFonts w:ascii="Times New Roman" w:hAnsi="Times New Roman" w:cs="Times New Roman"/>
          <w:b/>
        </w:rPr>
      </w:pPr>
      <w:r w:rsidRPr="00562B12">
        <w:rPr>
          <w:rFonts w:ascii="Times New Roman" w:hAnsi="Times New Roman" w:cs="Times New Roman"/>
          <w:b/>
        </w:rPr>
        <w:t>2.</w:t>
      </w:r>
      <w:r w:rsidR="00EF2794" w:rsidRPr="00562B12">
        <w:rPr>
          <w:rFonts w:ascii="Times New Roman" w:hAnsi="Times New Roman" w:cs="Times New Roman"/>
          <w:b/>
        </w:rPr>
        <w:t xml:space="preserve"> </w:t>
      </w:r>
      <w:r w:rsidR="00261D86" w:rsidRPr="00562B12">
        <w:rPr>
          <w:rFonts w:ascii="Times New Roman" w:hAnsi="Times New Roman" w:cs="Times New Roman"/>
          <w:b/>
        </w:rPr>
        <w:t xml:space="preserve">Determination of Dry Matter </w:t>
      </w:r>
      <w:r w:rsidR="00BD212D" w:rsidRPr="00562B12">
        <w:rPr>
          <w:rFonts w:ascii="Times New Roman" w:hAnsi="Times New Roman" w:cs="Times New Roman"/>
          <w:b/>
        </w:rPr>
        <w:t>Percentage:</w:t>
      </w:r>
    </w:p>
    <w:p w14:paraId="78D3696E" w14:textId="51A780AE" w:rsidR="00851ED0" w:rsidRDefault="00851ED0" w:rsidP="00C6741A">
      <w:pPr>
        <w:jc w:val="both"/>
        <w:rPr>
          <w:rFonts w:ascii="Times New Roman" w:hAnsi="Times New Roman" w:cs="Times New Roman"/>
        </w:rPr>
      </w:pPr>
      <w:r w:rsidRPr="00261D86">
        <w:rPr>
          <w:rFonts w:ascii="Times New Roman" w:hAnsi="Times New Roman" w:cs="Times New Roman"/>
          <w:bCs/>
        </w:rPr>
        <w:t>The</w:t>
      </w:r>
      <w:r w:rsidRPr="00851ED0">
        <w:rPr>
          <w:rFonts w:ascii="Times New Roman" w:hAnsi="Times New Roman" w:cs="Times New Roman"/>
        </w:rPr>
        <w:t xml:space="preserve"> dry matter content of </w:t>
      </w:r>
      <w:r w:rsidR="00A91EDF">
        <w:rPr>
          <w:rFonts w:ascii="Times New Roman" w:hAnsi="Times New Roman" w:cs="Times New Roman"/>
        </w:rPr>
        <w:t>the tea samples was determined according to</w:t>
      </w:r>
      <w:r w:rsidRPr="00851ED0">
        <w:rPr>
          <w:rFonts w:ascii="Times New Roman" w:hAnsi="Times New Roman" w:cs="Times New Roman"/>
        </w:rPr>
        <w:t xml:space="preserve"> ISO 1572. The</w:t>
      </w:r>
      <w:r w:rsidR="007F4135">
        <w:rPr>
          <w:rFonts w:ascii="Times New Roman" w:hAnsi="Times New Roman" w:cs="Times New Roman"/>
        </w:rPr>
        <w:t xml:space="preserve"> </w:t>
      </w:r>
      <w:r w:rsidR="00980849" w:rsidRPr="00980849">
        <w:rPr>
          <w:rFonts w:ascii="Times New Roman" w:hAnsi="Times New Roman" w:cs="Times New Roman"/>
        </w:rPr>
        <w:t xml:space="preserve">ground </w:t>
      </w:r>
      <w:r w:rsidRPr="00851ED0">
        <w:rPr>
          <w:rFonts w:ascii="Times New Roman" w:hAnsi="Times New Roman" w:cs="Times New Roman"/>
        </w:rPr>
        <w:t>samples</w:t>
      </w:r>
      <w:r w:rsidR="00A91EDF">
        <w:rPr>
          <w:rFonts w:ascii="Times New Roman" w:hAnsi="Times New Roman" w:cs="Times New Roman"/>
        </w:rPr>
        <w:t xml:space="preserve"> (0.2 g)</w:t>
      </w:r>
      <w:r w:rsidRPr="00851ED0">
        <w:rPr>
          <w:rFonts w:ascii="Times New Roman" w:hAnsi="Times New Roman" w:cs="Times New Roman"/>
        </w:rPr>
        <w:t xml:space="preserve"> were dried</w:t>
      </w:r>
      <w:r w:rsidR="007C33AA">
        <w:rPr>
          <w:rFonts w:ascii="Times New Roman" w:hAnsi="Times New Roman" w:cs="Times New Roman"/>
        </w:rPr>
        <w:t xml:space="preserve"> </w:t>
      </w:r>
      <w:r w:rsidR="007C33AA" w:rsidRPr="007C33AA">
        <w:rPr>
          <w:rFonts w:ascii="Times New Roman" w:hAnsi="Times New Roman" w:cs="Times New Roman"/>
        </w:rPr>
        <w:t xml:space="preserve">in an oven at a temperature of </w:t>
      </w:r>
      <m:oMath>
        <m:sSup>
          <m:sSupPr>
            <m:ctrlPr>
              <w:rPr>
                <w:rFonts w:ascii="Cambria Math" w:hAnsi="Cambria Math" w:cs="Times New Roman"/>
              </w:rPr>
            </m:ctrlPr>
          </m:sSupPr>
          <m:e>
            <m:r>
              <w:rPr>
                <w:rFonts w:ascii="Cambria Math" w:hAnsi="Cambria Math" w:cs="Times New Roman"/>
              </w:rPr>
              <m:t>103</m:t>
            </m:r>
          </m:e>
          <m:sup>
            <m:r>
              <w:rPr>
                <w:rFonts w:ascii="Cambria Math" w:hAnsi="Cambria Math" w:cs="Times New Roman"/>
              </w:rPr>
              <m:t>∘</m:t>
            </m:r>
          </m:sup>
        </m:sSup>
        <m:r>
          <m:rPr>
            <m:nor/>
          </m:rPr>
          <w:rPr>
            <w:rFonts w:ascii="Times New Roman" w:hAnsi="Times New Roman" w:cs="Times New Roman"/>
          </w:rPr>
          <m:t>C</m:t>
        </m:r>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2</m:t>
            </m:r>
          </m:e>
          <m:sup>
            <m:r>
              <w:rPr>
                <w:rFonts w:ascii="Cambria Math" w:hAnsi="Cambria Math" w:cs="Times New Roman"/>
              </w:rPr>
              <m:t>∘</m:t>
            </m:r>
          </m:sup>
        </m:sSup>
      </m:oMath>
      <w:r w:rsidR="00035C7A">
        <w:rPr>
          <w:rFonts w:ascii="Times New Roman" w:hAnsi="Times New Roman" w:cs="Times New Roman"/>
        </w:rPr>
        <w:t>C</w:t>
      </w:r>
      <w:r w:rsidRPr="00851ED0">
        <w:rPr>
          <w:rFonts w:ascii="Times New Roman" w:hAnsi="Times New Roman" w:cs="Times New Roman"/>
        </w:rPr>
        <w:t xml:space="preserve"> to a constant weight, and then the percentage of dry matter was calculated for </w:t>
      </w:r>
      <w:r w:rsidR="003F3E9B">
        <w:rPr>
          <w:rFonts w:ascii="Times New Roman" w:hAnsi="Times New Roman" w:cs="Times New Roman"/>
        </w:rPr>
        <w:t xml:space="preserve">accurate </w:t>
      </w:r>
      <w:r w:rsidRPr="00851ED0">
        <w:rPr>
          <w:rFonts w:ascii="Times New Roman" w:hAnsi="Times New Roman" w:cs="Times New Roman"/>
        </w:rPr>
        <w:t>normalization of the analytical results</w:t>
      </w:r>
      <w:r>
        <w:rPr>
          <w:rFonts w:ascii="Times New Roman" w:hAnsi="Times New Roman" w:cs="Times New Roman"/>
        </w:rPr>
        <w:t>.</w:t>
      </w:r>
    </w:p>
    <w:p w14:paraId="1533F611" w14:textId="5492A8F7" w:rsidR="00ED3648" w:rsidRPr="00ED3648" w:rsidRDefault="00102796" w:rsidP="00C6741A">
      <w:pPr>
        <w:jc w:val="both"/>
        <w:rPr>
          <w:rFonts w:ascii="Times New Roman" w:hAnsi="Times New Roman" w:cs="Times New Roman"/>
          <w:bCs/>
        </w:rPr>
      </w:pPr>
      <w:r w:rsidRPr="00562B12">
        <w:rPr>
          <w:rFonts w:ascii="Times New Roman" w:hAnsi="Times New Roman" w:cs="Times New Roman"/>
          <w:b/>
        </w:rPr>
        <w:t>3.</w:t>
      </w:r>
      <w:r w:rsidR="00EF2794" w:rsidRPr="00562B12">
        <w:rPr>
          <w:rFonts w:ascii="Times New Roman" w:hAnsi="Times New Roman" w:cs="Times New Roman"/>
          <w:b/>
        </w:rPr>
        <w:t xml:space="preserve"> </w:t>
      </w:r>
      <w:r w:rsidR="00ED3648" w:rsidRPr="00562B12">
        <w:rPr>
          <w:rFonts w:ascii="Times New Roman" w:hAnsi="Times New Roman" w:cs="Times New Roman"/>
          <w:b/>
        </w:rPr>
        <w:t>Determination of Total Polyphenol Content (TPC):</w:t>
      </w:r>
    </w:p>
    <w:p w14:paraId="191EDECB" w14:textId="296E4FC5" w:rsidR="003F3E9B" w:rsidRDefault="00C86732" w:rsidP="00C6741A">
      <w:pPr>
        <w:jc w:val="both"/>
        <w:rPr>
          <w:rFonts w:ascii="Times New Roman" w:hAnsi="Times New Roman" w:cs="Times New Roman"/>
        </w:rPr>
      </w:pPr>
      <w:r w:rsidRPr="00C86732">
        <w:rPr>
          <w:rFonts w:ascii="Times New Roman" w:hAnsi="Times New Roman" w:cs="Times New Roman"/>
        </w:rPr>
        <w:t>Total polyphenols were determined based on the Folin–</w:t>
      </w:r>
      <w:proofErr w:type="spellStart"/>
      <w:r w:rsidRPr="00C86732">
        <w:rPr>
          <w:rFonts w:ascii="Times New Roman" w:hAnsi="Times New Roman" w:cs="Times New Roman"/>
        </w:rPr>
        <w:t>Ciocalteu</w:t>
      </w:r>
      <w:proofErr w:type="spellEnd"/>
      <w:r w:rsidRPr="00C86732">
        <w:rPr>
          <w:rFonts w:ascii="Times New Roman" w:hAnsi="Times New Roman" w:cs="Times New Roman"/>
        </w:rPr>
        <w:t xml:space="preserve"> colorimetric method and ISO 14502-1:2005(E). The preparation of tea extracts was done in the same manner for all the samples to make them comparable. The absorbance measurements were done with a UV–Visible spectrophotometer</w:t>
      </w:r>
      <w:r w:rsidR="00CE704C" w:rsidRPr="00CE704C">
        <w:rPr>
          <w:rFonts w:ascii="Times New Roman" w:hAnsi="Times New Roman" w:cs="Times New Roman"/>
        </w:rPr>
        <w:t xml:space="preserve"> at 765 nm</w:t>
      </w:r>
      <w:r w:rsidRPr="00C86732">
        <w:rPr>
          <w:rFonts w:ascii="Times New Roman" w:hAnsi="Times New Roman" w:cs="Times New Roman"/>
        </w:rPr>
        <w:t>, and the results were given as percentage dry weight (% DW).</w:t>
      </w:r>
    </w:p>
    <w:p w14:paraId="680248C7" w14:textId="77777777" w:rsidR="00F13E27" w:rsidRDefault="00FE2427" w:rsidP="00C6741A">
      <w:pPr>
        <w:jc w:val="both"/>
        <w:rPr>
          <w:rFonts w:ascii="Times New Roman" w:hAnsi="Times New Roman" w:cs="Times New Roman"/>
        </w:rPr>
      </w:pPr>
      <w:r w:rsidRPr="00FE2427">
        <w:rPr>
          <w:rFonts w:ascii="Times New Roman" w:hAnsi="Times New Roman" w:cs="Times New Roman"/>
        </w:rPr>
        <w:t xml:space="preserve">Each sample was analyzed in </w:t>
      </w:r>
      <w:r w:rsidR="00AC35A2">
        <w:rPr>
          <w:rFonts w:ascii="Times New Roman" w:hAnsi="Times New Roman" w:cs="Times New Roman"/>
        </w:rPr>
        <w:t>triplicate</w:t>
      </w:r>
      <w:r w:rsidRPr="00FE2427">
        <w:rPr>
          <w:rFonts w:ascii="Times New Roman" w:hAnsi="Times New Roman" w:cs="Times New Roman"/>
        </w:rPr>
        <w:t>, and the results are given as mean ± standard deviation (SD). The regional mean values were determined using the data from the ten samples taken from each region.</w:t>
      </w:r>
    </w:p>
    <w:p w14:paraId="50F467EB" w14:textId="77777777" w:rsidR="00BA0CC8" w:rsidRDefault="00BA0CC8" w:rsidP="00585A6C">
      <w:pPr>
        <w:jc w:val="both"/>
        <w:rPr>
          <w:rFonts w:ascii="Times New Roman" w:hAnsi="Times New Roman" w:cs="Times New Roman"/>
        </w:rPr>
      </w:pPr>
    </w:p>
    <w:p w14:paraId="327DE804" w14:textId="77777777" w:rsidR="00A8290C" w:rsidRDefault="00A8290C" w:rsidP="00585A6C">
      <w:pPr>
        <w:jc w:val="both"/>
        <w:rPr>
          <w:rFonts w:ascii="Times New Roman" w:hAnsi="Times New Roman" w:cs="Times New Roman"/>
          <w:b/>
          <w:bCs/>
        </w:rPr>
      </w:pPr>
    </w:p>
    <w:p w14:paraId="1B6FE91E" w14:textId="77777777" w:rsidR="00A8290C" w:rsidRDefault="00A8290C" w:rsidP="00585A6C">
      <w:pPr>
        <w:jc w:val="both"/>
        <w:rPr>
          <w:rFonts w:ascii="Times New Roman" w:hAnsi="Times New Roman" w:cs="Times New Roman"/>
          <w:b/>
          <w:bCs/>
        </w:rPr>
      </w:pPr>
    </w:p>
    <w:p w14:paraId="7DE5D856" w14:textId="77777777" w:rsidR="00A8290C" w:rsidRDefault="00A8290C" w:rsidP="00585A6C">
      <w:pPr>
        <w:jc w:val="both"/>
        <w:rPr>
          <w:rFonts w:ascii="Times New Roman" w:hAnsi="Times New Roman" w:cs="Times New Roman"/>
          <w:b/>
          <w:bCs/>
        </w:rPr>
      </w:pPr>
    </w:p>
    <w:p w14:paraId="7ED522C2" w14:textId="77777777" w:rsidR="00A8290C" w:rsidRDefault="00A8290C" w:rsidP="00585A6C">
      <w:pPr>
        <w:jc w:val="both"/>
        <w:rPr>
          <w:rFonts w:ascii="Times New Roman" w:hAnsi="Times New Roman" w:cs="Times New Roman"/>
          <w:b/>
          <w:bCs/>
        </w:rPr>
      </w:pPr>
    </w:p>
    <w:p w14:paraId="05E35D15" w14:textId="77777777" w:rsidR="00A8290C" w:rsidRDefault="00A8290C" w:rsidP="00585A6C">
      <w:pPr>
        <w:jc w:val="both"/>
        <w:rPr>
          <w:rFonts w:ascii="Times New Roman" w:hAnsi="Times New Roman" w:cs="Times New Roman"/>
          <w:b/>
          <w:bCs/>
        </w:rPr>
      </w:pPr>
    </w:p>
    <w:p w14:paraId="27E81AF9" w14:textId="77777777" w:rsidR="00A8290C" w:rsidRDefault="00A8290C" w:rsidP="00585A6C">
      <w:pPr>
        <w:jc w:val="both"/>
        <w:rPr>
          <w:rFonts w:ascii="Times New Roman" w:hAnsi="Times New Roman" w:cs="Times New Roman"/>
          <w:b/>
          <w:bCs/>
        </w:rPr>
      </w:pPr>
    </w:p>
    <w:p w14:paraId="045AE887" w14:textId="77777777" w:rsidR="00A8290C" w:rsidRDefault="00A8290C" w:rsidP="00585A6C">
      <w:pPr>
        <w:jc w:val="both"/>
        <w:rPr>
          <w:rFonts w:ascii="Times New Roman" w:hAnsi="Times New Roman" w:cs="Times New Roman"/>
          <w:b/>
          <w:bCs/>
        </w:rPr>
      </w:pPr>
    </w:p>
    <w:p w14:paraId="7A191DBA" w14:textId="77777777" w:rsidR="00A8290C" w:rsidRDefault="00A8290C" w:rsidP="00585A6C">
      <w:pPr>
        <w:jc w:val="both"/>
        <w:rPr>
          <w:rFonts w:ascii="Times New Roman" w:hAnsi="Times New Roman" w:cs="Times New Roman"/>
          <w:b/>
          <w:bCs/>
        </w:rPr>
      </w:pPr>
    </w:p>
    <w:p w14:paraId="13F0D4AE" w14:textId="77777777" w:rsidR="00A8290C" w:rsidRDefault="00A8290C" w:rsidP="00585A6C">
      <w:pPr>
        <w:jc w:val="both"/>
        <w:rPr>
          <w:rFonts w:ascii="Times New Roman" w:hAnsi="Times New Roman" w:cs="Times New Roman"/>
          <w:b/>
          <w:bCs/>
        </w:rPr>
      </w:pPr>
    </w:p>
    <w:p w14:paraId="60FCE78F" w14:textId="30966015" w:rsidR="00B81D29" w:rsidRDefault="00B81D29" w:rsidP="00585A6C">
      <w:pPr>
        <w:jc w:val="both"/>
        <w:rPr>
          <w:rFonts w:ascii="Times New Roman" w:hAnsi="Times New Roman" w:cs="Times New Roman"/>
          <w:b/>
          <w:bCs/>
        </w:rPr>
      </w:pPr>
      <w:r w:rsidRPr="00B81D29">
        <w:rPr>
          <w:rFonts w:ascii="Times New Roman" w:hAnsi="Times New Roman" w:cs="Times New Roman"/>
          <w:b/>
          <w:bCs/>
        </w:rPr>
        <w:t>Results</w:t>
      </w:r>
      <w:r w:rsidR="0011326A">
        <w:rPr>
          <w:rFonts w:ascii="Times New Roman" w:hAnsi="Times New Roman" w:cs="Times New Roman"/>
          <w:b/>
          <w:bCs/>
        </w:rPr>
        <w:t xml:space="preserve"> and </w:t>
      </w:r>
      <w:r w:rsidR="00BA0CC8" w:rsidRPr="00BA0CC8">
        <w:rPr>
          <w:rFonts w:ascii="Times New Roman" w:hAnsi="Times New Roman" w:cs="Times New Roman"/>
          <w:b/>
          <w:bCs/>
        </w:rPr>
        <w:t>Discussion</w:t>
      </w:r>
    </w:p>
    <w:p w14:paraId="0A957D3A" w14:textId="77777777" w:rsidR="00AE47B8" w:rsidRPr="00B81D29" w:rsidRDefault="00AE47B8" w:rsidP="00585A6C">
      <w:pPr>
        <w:jc w:val="both"/>
        <w:rPr>
          <w:rFonts w:ascii="Times New Roman" w:hAnsi="Times New Roman" w:cs="Times New Roman"/>
          <w:b/>
          <w:bCs/>
        </w:rPr>
      </w:pPr>
    </w:p>
    <w:tbl>
      <w:tblPr>
        <w:tblStyle w:val="TableGrid"/>
        <w:tblW w:w="0" w:type="auto"/>
        <w:tblBorders>
          <w:insideV w:val="none" w:sz="0" w:space="0" w:color="auto"/>
        </w:tblBorders>
        <w:tblLook w:val="04A0" w:firstRow="1" w:lastRow="0" w:firstColumn="1" w:lastColumn="0" w:noHBand="0" w:noVBand="1"/>
      </w:tblPr>
      <w:tblGrid>
        <w:gridCol w:w="3116"/>
        <w:gridCol w:w="3117"/>
        <w:gridCol w:w="3117"/>
      </w:tblGrid>
      <w:tr w:rsidR="00F13E27" w14:paraId="7CDBFF68" w14:textId="77777777" w:rsidTr="00E6114A">
        <w:trPr>
          <w:trHeight w:val="395"/>
        </w:trPr>
        <w:tc>
          <w:tcPr>
            <w:tcW w:w="3116" w:type="dxa"/>
          </w:tcPr>
          <w:p w14:paraId="3AAEECC9" w14:textId="4A0058CF" w:rsidR="00F13E27" w:rsidRPr="00112239" w:rsidRDefault="00F13E27" w:rsidP="00585A6C">
            <w:pPr>
              <w:jc w:val="both"/>
              <w:rPr>
                <w:rFonts w:ascii="Times New Roman" w:hAnsi="Times New Roman" w:cs="Times New Roman"/>
              </w:rPr>
            </w:pPr>
            <w:r w:rsidRPr="00112239">
              <w:rPr>
                <w:rFonts w:ascii="Times New Roman" w:hAnsi="Times New Roman" w:cs="Times New Roman"/>
              </w:rPr>
              <w:t>Region</w:t>
            </w:r>
            <w:r w:rsidR="00B34871" w:rsidRPr="00112239">
              <w:rPr>
                <w:rFonts w:ascii="Times New Roman" w:hAnsi="Times New Roman" w:cs="Times New Roman"/>
              </w:rPr>
              <w:t xml:space="preserve"> and grade</w:t>
            </w:r>
          </w:p>
        </w:tc>
        <w:tc>
          <w:tcPr>
            <w:tcW w:w="3117" w:type="dxa"/>
          </w:tcPr>
          <w:p w14:paraId="63BEBA7A" w14:textId="557735E0" w:rsidR="00F13E27" w:rsidRPr="00112239" w:rsidRDefault="00F13E27" w:rsidP="00585A6C">
            <w:pPr>
              <w:jc w:val="both"/>
              <w:rPr>
                <w:rFonts w:ascii="Times New Roman" w:hAnsi="Times New Roman" w:cs="Times New Roman"/>
              </w:rPr>
            </w:pPr>
            <w:r w:rsidRPr="00112239">
              <w:rPr>
                <w:rFonts w:ascii="Times New Roman" w:hAnsi="Times New Roman" w:cs="Times New Roman"/>
              </w:rPr>
              <w:t>TPC</w:t>
            </w:r>
            <w:r w:rsidR="00B34871" w:rsidRPr="00112239">
              <w:rPr>
                <w:rFonts w:ascii="Times New Roman" w:hAnsi="Times New Roman" w:cs="Times New Roman"/>
              </w:rPr>
              <w:t xml:space="preserve"> </w:t>
            </w:r>
            <w:r w:rsidR="00AE47B8" w:rsidRPr="00112239">
              <w:rPr>
                <w:rFonts w:ascii="Times New Roman" w:hAnsi="Times New Roman" w:cs="Times New Roman"/>
              </w:rPr>
              <w:t>(%</w:t>
            </w:r>
            <w:r w:rsidRPr="00112239">
              <w:rPr>
                <w:rFonts w:ascii="Times New Roman" w:hAnsi="Times New Roman" w:cs="Times New Roman"/>
              </w:rPr>
              <w:t>DW</w:t>
            </w:r>
            <w:r w:rsidR="00B34871" w:rsidRPr="00112239">
              <w:rPr>
                <w:rFonts w:ascii="Times New Roman" w:hAnsi="Times New Roman" w:cs="Times New Roman"/>
              </w:rPr>
              <w:t>)</w:t>
            </w:r>
          </w:p>
        </w:tc>
        <w:tc>
          <w:tcPr>
            <w:tcW w:w="3117" w:type="dxa"/>
          </w:tcPr>
          <w:p w14:paraId="2704C3E5" w14:textId="0A5BDC36" w:rsidR="00F13E27" w:rsidRPr="00112239" w:rsidRDefault="00F13E27" w:rsidP="00585A6C">
            <w:pPr>
              <w:jc w:val="both"/>
              <w:rPr>
                <w:rFonts w:ascii="Times New Roman" w:hAnsi="Times New Roman" w:cs="Times New Roman"/>
              </w:rPr>
            </w:pPr>
            <w:r w:rsidRPr="00112239">
              <w:rPr>
                <w:rFonts w:ascii="Times New Roman" w:hAnsi="Times New Roman" w:cs="Times New Roman"/>
              </w:rPr>
              <w:t>Dry Matter</w:t>
            </w:r>
            <w:r w:rsidR="00B34871" w:rsidRPr="00112239">
              <w:rPr>
                <w:rFonts w:ascii="Times New Roman" w:hAnsi="Times New Roman" w:cs="Times New Roman"/>
              </w:rPr>
              <w:t xml:space="preserve"> (%)</w:t>
            </w:r>
          </w:p>
        </w:tc>
      </w:tr>
      <w:tr w:rsidR="00F13E27" w14:paraId="4DDE6EA9" w14:textId="77777777" w:rsidTr="00E6114A">
        <w:tc>
          <w:tcPr>
            <w:tcW w:w="3116" w:type="dxa"/>
          </w:tcPr>
          <w:p w14:paraId="1EE2231B" w14:textId="77777777" w:rsidR="00F13E27" w:rsidRPr="00DC440A" w:rsidRDefault="00F13E27" w:rsidP="00585A6C">
            <w:pPr>
              <w:jc w:val="both"/>
              <w:rPr>
                <w:rFonts w:ascii="Times New Roman" w:hAnsi="Times New Roman" w:cs="Times New Roman"/>
              </w:rPr>
            </w:pPr>
            <w:r w:rsidRPr="00DC440A">
              <w:rPr>
                <w:rFonts w:ascii="Times New Roman" w:hAnsi="Times New Roman" w:cs="Times New Roman"/>
              </w:rPr>
              <w:t>Sabaragamuwa -BOPF</w:t>
            </w:r>
          </w:p>
        </w:tc>
        <w:tc>
          <w:tcPr>
            <w:tcW w:w="3117" w:type="dxa"/>
          </w:tcPr>
          <w:p w14:paraId="6469930E" w14:textId="3D2B2054" w:rsidR="00F13E27" w:rsidRPr="00DC440A" w:rsidRDefault="00F13E27" w:rsidP="00585A6C">
            <w:pPr>
              <w:jc w:val="both"/>
              <w:rPr>
                <w:rFonts w:ascii="Times New Roman" w:hAnsi="Times New Roman" w:cs="Times New Roman"/>
              </w:rPr>
            </w:pPr>
            <w:r w:rsidRPr="00DC440A">
              <w:rPr>
                <w:rFonts w:ascii="Times New Roman" w:hAnsi="Times New Roman" w:cs="Times New Roman"/>
              </w:rPr>
              <w:t>18.98±0.39</w:t>
            </w:r>
          </w:p>
          <w:p w14:paraId="413B6E88" w14:textId="77777777" w:rsidR="00F13E27" w:rsidRPr="00DC440A" w:rsidRDefault="00F13E27" w:rsidP="00585A6C">
            <w:pPr>
              <w:jc w:val="both"/>
              <w:rPr>
                <w:rFonts w:ascii="Times New Roman" w:hAnsi="Times New Roman" w:cs="Times New Roman"/>
              </w:rPr>
            </w:pPr>
          </w:p>
        </w:tc>
        <w:tc>
          <w:tcPr>
            <w:tcW w:w="3117" w:type="dxa"/>
          </w:tcPr>
          <w:p w14:paraId="200C2735" w14:textId="77777777"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94.60</w:t>
            </w:r>
            <w:r w:rsidRPr="00DC440A">
              <w:rPr>
                <w:rFonts w:ascii="Times New Roman" w:hAnsi="Times New Roman" w:cs="Times New Roman"/>
              </w:rPr>
              <w:t>±</w:t>
            </w:r>
            <w:r w:rsidRPr="00DC440A">
              <w:rPr>
                <w:rFonts w:ascii="Times New Roman" w:hAnsi="Times New Roman" w:cs="Times New Roman"/>
                <w:color w:val="000000"/>
              </w:rPr>
              <w:t>0.70</w:t>
            </w:r>
          </w:p>
          <w:p w14:paraId="0D48E0E4" w14:textId="77777777" w:rsidR="00F13E27" w:rsidRPr="00DC440A" w:rsidRDefault="00F13E27" w:rsidP="00585A6C">
            <w:pPr>
              <w:jc w:val="both"/>
              <w:rPr>
                <w:rFonts w:ascii="Times New Roman" w:hAnsi="Times New Roman" w:cs="Times New Roman"/>
                <w:color w:val="000000"/>
              </w:rPr>
            </w:pPr>
          </w:p>
          <w:p w14:paraId="3FE84CFD" w14:textId="77777777" w:rsidR="00F13E27" w:rsidRPr="00DC440A" w:rsidRDefault="00F13E27" w:rsidP="00585A6C">
            <w:pPr>
              <w:jc w:val="both"/>
              <w:rPr>
                <w:rFonts w:ascii="Times New Roman" w:hAnsi="Times New Roman" w:cs="Times New Roman"/>
              </w:rPr>
            </w:pPr>
          </w:p>
        </w:tc>
      </w:tr>
      <w:tr w:rsidR="00F13E27" w14:paraId="01A59DF2" w14:textId="77777777" w:rsidTr="00E6114A">
        <w:trPr>
          <w:trHeight w:val="890"/>
        </w:trPr>
        <w:tc>
          <w:tcPr>
            <w:tcW w:w="3116" w:type="dxa"/>
          </w:tcPr>
          <w:p w14:paraId="694820AF" w14:textId="46902BCD" w:rsidR="00F13E27" w:rsidRPr="00DC440A" w:rsidRDefault="00E6114A" w:rsidP="00585A6C">
            <w:pPr>
              <w:jc w:val="both"/>
              <w:rPr>
                <w:rFonts w:ascii="Times New Roman" w:hAnsi="Times New Roman" w:cs="Times New Roman"/>
              </w:rPr>
            </w:pPr>
            <w:r w:rsidRPr="00DC440A">
              <w:rPr>
                <w:rFonts w:ascii="Times New Roman" w:hAnsi="Times New Roman" w:cs="Times New Roman"/>
              </w:rPr>
              <w:t>D</w:t>
            </w:r>
            <w:r>
              <w:rPr>
                <w:rFonts w:ascii="Times New Roman" w:hAnsi="Times New Roman" w:cs="Times New Roman"/>
              </w:rPr>
              <w:t>i</w:t>
            </w:r>
            <w:r w:rsidRPr="00DC440A">
              <w:rPr>
                <w:rFonts w:ascii="Times New Roman" w:hAnsi="Times New Roman" w:cs="Times New Roman"/>
              </w:rPr>
              <w:t>mbula</w:t>
            </w:r>
            <w:r w:rsidR="00F13E27" w:rsidRPr="00DC440A">
              <w:rPr>
                <w:rFonts w:ascii="Times New Roman" w:hAnsi="Times New Roman" w:cs="Times New Roman"/>
              </w:rPr>
              <w:t>-BOPF</w:t>
            </w:r>
          </w:p>
          <w:p w14:paraId="0F1ACADE" w14:textId="77777777" w:rsidR="00F13E27" w:rsidRPr="00DC440A" w:rsidRDefault="00F13E27" w:rsidP="00585A6C">
            <w:pPr>
              <w:jc w:val="both"/>
              <w:rPr>
                <w:rFonts w:ascii="Times New Roman" w:hAnsi="Times New Roman" w:cs="Times New Roman"/>
              </w:rPr>
            </w:pPr>
          </w:p>
        </w:tc>
        <w:tc>
          <w:tcPr>
            <w:tcW w:w="3117" w:type="dxa"/>
          </w:tcPr>
          <w:p w14:paraId="11E572B4" w14:textId="7FFD6E82"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 xml:space="preserve">17.62 </w:t>
            </w:r>
            <w:r w:rsidRPr="00DC440A">
              <w:rPr>
                <w:rFonts w:ascii="Times New Roman" w:hAnsi="Times New Roman" w:cs="Times New Roman"/>
              </w:rPr>
              <w:t>±</w:t>
            </w:r>
            <w:r w:rsidRPr="00DC440A">
              <w:rPr>
                <w:rFonts w:ascii="Times New Roman" w:hAnsi="Times New Roman" w:cs="Times New Roman"/>
                <w:color w:val="000000"/>
              </w:rPr>
              <w:t>0.92</w:t>
            </w:r>
          </w:p>
          <w:p w14:paraId="2A6E24E1" w14:textId="77777777" w:rsidR="00F13E27" w:rsidRPr="00DC440A" w:rsidRDefault="00F13E27" w:rsidP="00585A6C">
            <w:pPr>
              <w:jc w:val="both"/>
              <w:rPr>
                <w:rFonts w:ascii="Times New Roman" w:hAnsi="Times New Roman" w:cs="Times New Roman"/>
              </w:rPr>
            </w:pPr>
          </w:p>
        </w:tc>
        <w:tc>
          <w:tcPr>
            <w:tcW w:w="3117" w:type="dxa"/>
          </w:tcPr>
          <w:p w14:paraId="6037C0BB" w14:textId="77777777" w:rsidR="00F13E27" w:rsidRPr="00DC440A" w:rsidRDefault="00F13E27" w:rsidP="00585A6C">
            <w:pPr>
              <w:jc w:val="both"/>
              <w:rPr>
                <w:rFonts w:ascii="Times New Roman" w:hAnsi="Times New Roman" w:cs="Times New Roman"/>
              </w:rPr>
            </w:pPr>
            <w:r w:rsidRPr="00DC440A">
              <w:rPr>
                <w:rFonts w:ascii="Times New Roman" w:hAnsi="Times New Roman" w:cs="Times New Roman"/>
                <w:color w:val="000000"/>
              </w:rPr>
              <w:t>90.92</w:t>
            </w:r>
            <w:r w:rsidRPr="00DC440A">
              <w:rPr>
                <w:rFonts w:ascii="Times New Roman" w:hAnsi="Times New Roman" w:cs="Times New Roman"/>
              </w:rPr>
              <w:t xml:space="preserve">± </w:t>
            </w:r>
            <w:r w:rsidRPr="00DC440A">
              <w:rPr>
                <w:rFonts w:ascii="Times New Roman" w:hAnsi="Times New Roman" w:cs="Times New Roman"/>
                <w:color w:val="000000"/>
              </w:rPr>
              <w:t>0.51</w:t>
            </w:r>
          </w:p>
          <w:p w14:paraId="55E9B3DA" w14:textId="77777777" w:rsidR="00F13E27" w:rsidRPr="00DC440A" w:rsidRDefault="00F13E27" w:rsidP="00585A6C">
            <w:pPr>
              <w:jc w:val="both"/>
              <w:rPr>
                <w:rFonts w:ascii="Times New Roman" w:hAnsi="Times New Roman" w:cs="Times New Roman"/>
                <w:color w:val="000000"/>
              </w:rPr>
            </w:pPr>
          </w:p>
        </w:tc>
      </w:tr>
      <w:tr w:rsidR="00F13E27" w14:paraId="11FE994D" w14:textId="77777777" w:rsidTr="00E6114A">
        <w:trPr>
          <w:trHeight w:val="872"/>
        </w:trPr>
        <w:tc>
          <w:tcPr>
            <w:tcW w:w="3116" w:type="dxa"/>
          </w:tcPr>
          <w:p w14:paraId="49A90808" w14:textId="77777777" w:rsidR="00F13E27" w:rsidRPr="00DC440A" w:rsidRDefault="00F13E27" w:rsidP="00585A6C">
            <w:pPr>
              <w:jc w:val="both"/>
              <w:rPr>
                <w:rFonts w:ascii="Times New Roman" w:hAnsi="Times New Roman" w:cs="Times New Roman"/>
              </w:rPr>
            </w:pPr>
            <w:r w:rsidRPr="00DC440A">
              <w:rPr>
                <w:rFonts w:ascii="Times New Roman" w:hAnsi="Times New Roman" w:cs="Times New Roman"/>
              </w:rPr>
              <w:t>Ruhuna-BOPF</w:t>
            </w:r>
          </w:p>
        </w:tc>
        <w:tc>
          <w:tcPr>
            <w:tcW w:w="3117" w:type="dxa"/>
          </w:tcPr>
          <w:p w14:paraId="74A600CF" w14:textId="1E3F8FF9" w:rsidR="00F13E27" w:rsidRPr="00DC440A" w:rsidRDefault="00F13E27" w:rsidP="00585A6C">
            <w:pPr>
              <w:jc w:val="both"/>
              <w:rPr>
                <w:rFonts w:ascii="Times New Roman" w:hAnsi="Times New Roman" w:cs="Times New Roman"/>
              </w:rPr>
            </w:pPr>
            <w:r w:rsidRPr="00DC440A">
              <w:rPr>
                <w:rFonts w:ascii="Times New Roman" w:hAnsi="Times New Roman" w:cs="Times New Roman"/>
              </w:rPr>
              <w:t>24.</w:t>
            </w:r>
            <w:r w:rsidR="000E0497">
              <w:rPr>
                <w:rFonts w:ascii="Times New Roman" w:hAnsi="Times New Roman" w:cs="Times New Roman"/>
              </w:rPr>
              <w:t>3</w:t>
            </w:r>
            <w:r w:rsidR="004B45E6">
              <w:rPr>
                <w:rFonts w:ascii="Times New Roman" w:hAnsi="Times New Roman" w:cs="Times New Roman"/>
              </w:rPr>
              <w:t>1</w:t>
            </w:r>
            <w:r w:rsidRPr="00DC440A">
              <w:rPr>
                <w:rFonts w:ascii="Times New Roman" w:hAnsi="Times New Roman" w:cs="Times New Roman"/>
              </w:rPr>
              <w:t>±</w:t>
            </w:r>
            <w:r w:rsidR="00EF6B53">
              <w:rPr>
                <w:rFonts w:ascii="Times New Roman" w:hAnsi="Times New Roman" w:cs="Times New Roman"/>
              </w:rPr>
              <w:t>1</w:t>
            </w:r>
            <w:r w:rsidRPr="00DC440A">
              <w:rPr>
                <w:rFonts w:ascii="Times New Roman" w:hAnsi="Times New Roman" w:cs="Times New Roman"/>
                <w:color w:val="000000"/>
              </w:rPr>
              <w:t>.98</w:t>
            </w:r>
          </w:p>
          <w:p w14:paraId="1F79EBB4" w14:textId="77777777" w:rsidR="00F13E27" w:rsidRPr="00DC440A" w:rsidRDefault="00F13E27" w:rsidP="00585A6C">
            <w:pPr>
              <w:jc w:val="both"/>
              <w:rPr>
                <w:rFonts w:ascii="Times New Roman" w:hAnsi="Times New Roman" w:cs="Times New Roman"/>
              </w:rPr>
            </w:pPr>
          </w:p>
          <w:p w14:paraId="23541E73" w14:textId="77777777" w:rsidR="00F13E27" w:rsidRPr="00DC440A" w:rsidRDefault="00F13E27" w:rsidP="00585A6C">
            <w:pPr>
              <w:jc w:val="both"/>
              <w:rPr>
                <w:rFonts w:ascii="Times New Roman" w:hAnsi="Times New Roman" w:cs="Times New Roman"/>
              </w:rPr>
            </w:pPr>
          </w:p>
        </w:tc>
        <w:tc>
          <w:tcPr>
            <w:tcW w:w="3117" w:type="dxa"/>
          </w:tcPr>
          <w:p w14:paraId="6D20F53F" w14:textId="77777777"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91.91±0.88</w:t>
            </w:r>
          </w:p>
          <w:p w14:paraId="246D5911" w14:textId="77777777" w:rsidR="00F13E27" w:rsidRPr="00DC440A" w:rsidRDefault="00F13E27" w:rsidP="00585A6C">
            <w:pPr>
              <w:jc w:val="both"/>
              <w:rPr>
                <w:rFonts w:ascii="Times New Roman" w:hAnsi="Times New Roman" w:cs="Times New Roman"/>
              </w:rPr>
            </w:pPr>
          </w:p>
        </w:tc>
      </w:tr>
      <w:tr w:rsidR="00F13E27" w14:paraId="228813D3" w14:textId="77777777" w:rsidTr="006C7C3F">
        <w:trPr>
          <w:trHeight w:val="818"/>
        </w:trPr>
        <w:tc>
          <w:tcPr>
            <w:tcW w:w="3116" w:type="dxa"/>
          </w:tcPr>
          <w:p w14:paraId="6F4BD452" w14:textId="29A16940" w:rsidR="00F13E27" w:rsidRPr="00DC440A" w:rsidRDefault="00F13E27" w:rsidP="00585A6C">
            <w:pPr>
              <w:jc w:val="both"/>
              <w:rPr>
                <w:rFonts w:ascii="Times New Roman" w:hAnsi="Times New Roman" w:cs="Times New Roman"/>
              </w:rPr>
            </w:pPr>
            <w:r w:rsidRPr="00DC440A">
              <w:rPr>
                <w:rFonts w:ascii="Times New Roman" w:hAnsi="Times New Roman" w:cs="Times New Roman"/>
              </w:rPr>
              <w:t xml:space="preserve">Udu </w:t>
            </w:r>
            <w:r w:rsidR="003B63E7" w:rsidRPr="00DC440A">
              <w:rPr>
                <w:rFonts w:ascii="Times New Roman" w:hAnsi="Times New Roman" w:cs="Times New Roman"/>
              </w:rPr>
              <w:t>Pussellawa</w:t>
            </w:r>
            <w:r w:rsidRPr="00DC440A">
              <w:rPr>
                <w:rFonts w:ascii="Times New Roman" w:hAnsi="Times New Roman" w:cs="Times New Roman"/>
              </w:rPr>
              <w:t>-BOPF</w:t>
            </w:r>
          </w:p>
        </w:tc>
        <w:tc>
          <w:tcPr>
            <w:tcW w:w="3117" w:type="dxa"/>
          </w:tcPr>
          <w:p w14:paraId="4B1D3437" w14:textId="6C7D3E51"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19.34</w:t>
            </w:r>
            <w:r w:rsidRPr="00DC440A">
              <w:rPr>
                <w:rFonts w:ascii="Times New Roman" w:hAnsi="Times New Roman" w:cs="Times New Roman"/>
              </w:rPr>
              <w:t>±1</w:t>
            </w:r>
            <w:r w:rsidRPr="00DC440A">
              <w:rPr>
                <w:rFonts w:ascii="Times New Roman" w:hAnsi="Times New Roman" w:cs="Times New Roman"/>
                <w:color w:val="000000"/>
              </w:rPr>
              <w:t>.3</w:t>
            </w:r>
            <w:r w:rsidR="00D07AF1">
              <w:rPr>
                <w:rFonts w:ascii="Times New Roman" w:hAnsi="Times New Roman" w:cs="Times New Roman"/>
                <w:color w:val="000000"/>
              </w:rPr>
              <w:t>5</w:t>
            </w:r>
          </w:p>
          <w:p w14:paraId="3A690782" w14:textId="77777777" w:rsidR="00F13E27" w:rsidRPr="00DC440A" w:rsidRDefault="00F13E27" w:rsidP="00585A6C">
            <w:pPr>
              <w:jc w:val="both"/>
              <w:rPr>
                <w:rFonts w:ascii="Times New Roman" w:hAnsi="Times New Roman" w:cs="Times New Roman"/>
                <w:color w:val="000000"/>
              </w:rPr>
            </w:pPr>
          </w:p>
          <w:p w14:paraId="6A51E4C9" w14:textId="77777777" w:rsidR="00F13E27" w:rsidRPr="00DC440A" w:rsidRDefault="00F13E27" w:rsidP="00585A6C">
            <w:pPr>
              <w:jc w:val="both"/>
              <w:rPr>
                <w:rFonts w:ascii="Times New Roman" w:hAnsi="Times New Roman" w:cs="Times New Roman"/>
              </w:rPr>
            </w:pPr>
          </w:p>
        </w:tc>
        <w:tc>
          <w:tcPr>
            <w:tcW w:w="3117" w:type="dxa"/>
          </w:tcPr>
          <w:p w14:paraId="62C2D5B3" w14:textId="77777777"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92.66±0.72</w:t>
            </w:r>
          </w:p>
          <w:p w14:paraId="678D1655" w14:textId="77777777" w:rsidR="00F13E27" w:rsidRPr="00DC440A" w:rsidRDefault="00F13E27" w:rsidP="00585A6C">
            <w:pPr>
              <w:jc w:val="both"/>
              <w:rPr>
                <w:rFonts w:ascii="Times New Roman" w:hAnsi="Times New Roman" w:cs="Times New Roman"/>
                <w:color w:val="000000"/>
              </w:rPr>
            </w:pPr>
          </w:p>
          <w:p w14:paraId="2A9EA0B5" w14:textId="77777777" w:rsidR="00F13E27" w:rsidRPr="00DC440A" w:rsidRDefault="00F13E27" w:rsidP="00585A6C">
            <w:pPr>
              <w:jc w:val="both"/>
              <w:rPr>
                <w:rFonts w:ascii="Times New Roman" w:hAnsi="Times New Roman" w:cs="Times New Roman"/>
                <w:color w:val="000000"/>
              </w:rPr>
            </w:pPr>
          </w:p>
        </w:tc>
      </w:tr>
      <w:tr w:rsidR="00F13E27" w14:paraId="3430934A" w14:textId="77777777" w:rsidTr="006C7C3F">
        <w:trPr>
          <w:trHeight w:val="683"/>
        </w:trPr>
        <w:tc>
          <w:tcPr>
            <w:tcW w:w="3116" w:type="dxa"/>
          </w:tcPr>
          <w:p w14:paraId="596D57D9" w14:textId="6A2B2C2D" w:rsidR="00E6114A" w:rsidRPr="00DC440A" w:rsidRDefault="00F13E27" w:rsidP="00585A6C">
            <w:pPr>
              <w:jc w:val="both"/>
              <w:rPr>
                <w:rFonts w:ascii="Times New Roman" w:hAnsi="Times New Roman" w:cs="Times New Roman"/>
              </w:rPr>
            </w:pPr>
            <w:r w:rsidRPr="00DC440A">
              <w:rPr>
                <w:rFonts w:ascii="Times New Roman" w:hAnsi="Times New Roman" w:cs="Times New Roman"/>
              </w:rPr>
              <w:t>Uva-BOPF</w:t>
            </w:r>
          </w:p>
        </w:tc>
        <w:tc>
          <w:tcPr>
            <w:tcW w:w="3117" w:type="dxa"/>
          </w:tcPr>
          <w:p w14:paraId="52D003A3" w14:textId="110B0B7C"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15.38</w:t>
            </w:r>
            <w:r w:rsidRPr="00DC440A">
              <w:rPr>
                <w:rFonts w:ascii="Times New Roman" w:hAnsi="Times New Roman" w:cs="Times New Roman"/>
              </w:rPr>
              <w:t>±</w:t>
            </w:r>
            <w:r w:rsidRPr="00DC440A">
              <w:rPr>
                <w:rFonts w:ascii="Times New Roman" w:hAnsi="Times New Roman" w:cs="Times New Roman"/>
                <w:color w:val="000000"/>
              </w:rPr>
              <w:t>1.36</w:t>
            </w:r>
          </w:p>
          <w:p w14:paraId="11285BF6" w14:textId="77777777" w:rsidR="00F13E27" w:rsidRPr="00DC440A" w:rsidRDefault="00F13E27" w:rsidP="00585A6C">
            <w:pPr>
              <w:jc w:val="both"/>
              <w:rPr>
                <w:rFonts w:ascii="Times New Roman" w:hAnsi="Times New Roman" w:cs="Times New Roman"/>
                <w:color w:val="000000"/>
              </w:rPr>
            </w:pPr>
          </w:p>
          <w:p w14:paraId="545C9461" w14:textId="77777777" w:rsidR="00F13E27" w:rsidRPr="00DC440A" w:rsidRDefault="00F13E27" w:rsidP="00585A6C">
            <w:pPr>
              <w:jc w:val="both"/>
              <w:rPr>
                <w:rFonts w:ascii="Times New Roman" w:hAnsi="Times New Roman" w:cs="Times New Roman"/>
              </w:rPr>
            </w:pPr>
          </w:p>
        </w:tc>
        <w:tc>
          <w:tcPr>
            <w:tcW w:w="3117" w:type="dxa"/>
          </w:tcPr>
          <w:p w14:paraId="7EB526ED" w14:textId="046BD373" w:rsidR="00F13E27" w:rsidRPr="00DC440A" w:rsidRDefault="00F13E27" w:rsidP="00585A6C">
            <w:pPr>
              <w:jc w:val="both"/>
              <w:rPr>
                <w:rFonts w:ascii="Times New Roman" w:hAnsi="Times New Roman" w:cs="Times New Roman"/>
                <w:color w:val="000000"/>
              </w:rPr>
            </w:pPr>
            <w:r w:rsidRPr="00DC440A">
              <w:rPr>
                <w:rFonts w:ascii="Times New Roman" w:hAnsi="Times New Roman" w:cs="Times New Roman"/>
                <w:color w:val="000000"/>
              </w:rPr>
              <w:t>93.85±</w:t>
            </w:r>
            <w:r w:rsidR="00D63657">
              <w:rPr>
                <w:rFonts w:ascii="Times New Roman" w:hAnsi="Times New Roman" w:cs="Times New Roman"/>
                <w:color w:val="000000"/>
              </w:rPr>
              <w:t>1.09</w:t>
            </w:r>
          </w:p>
          <w:p w14:paraId="06A33C33" w14:textId="77777777" w:rsidR="00F13E27" w:rsidRPr="00DC440A" w:rsidRDefault="00F13E27" w:rsidP="00585A6C">
            <w:pPr>
              <w:jc w:val="both"/>
              <w:rPr>
                <w:rFonts w:ascii="Times New Roman" w:hAnsi="Times New Roman" w:cs="Times New Roman"/>
                <w:color w:val="000000"/>
              </w:rPr>
            </w:pPr>
          </w:p>
          <w:p w14:paraId="3F492BCC" w14:textId="77777777" w:rsidR="00F13E27" w:rsidRPr="00DC440A" w:rsidRDefault="00F13E27" w:rsidP="00585A6C">
            <w:pPr>
              <w:jc w:val="both"/>
              <w:rPr>
                <w:rFonts w:ascii="Times New Roman" w:hAnsi="Times New Roman" w:cs="Times New Roman"/>
                <w:color w:val="000000"/>
              </w:rPr>
            </w:pPr>
          </w:p>
          <w:p w14:paraId="7521FE95" w14:textId="77777777" w:rsidR="00F13E27" w:rsidRPr="00DC440A" w:rsidRDefault="00F13E27" w:rsidP="00585A6C">
            <w:pPr>
              <w:jc w:val="both"/>
              <w:rPr>
                <w:rFonts w:ascii="Times New Roman" w:hAnsi="Times New Roman" w:cs="Times New Roman"/>
                <w:color w:val="000000"/>
              </w:rPr>
            </w:pPr>
          </w:p>
        </w:tc>
      </w:tr>
    </w:tbl>
    <w:p w14:paraId="25EB701B" w14:textId="025A9492" w:rsidR="00F13E27" w:rsidRDefault="00F13E27" w:rsidP="00585A6C">
      <w:pPr>
        <w:jc w:val="both"/>
        <w:rPr>
          <w:rFonts w:ascii="Times New Roman" w:hAnsi="Times New Roman" w:cs="Times New Roman"/>
        </w:rPr>
      </w:pPr>
    </w:p>
    <w:p w14:paraId="1792ECD8" w14:textId="77777777" w:rsidR="00F13E27" w:rsidRDefault="00F13E27" w:rsidP="00585A6C">
      <w:pPr>
        <w:jc w:val="both"/>
        <w:rPr>
          <w:rFonts w:ascii="Times New Roman" w:hAnsi="Times New Roman" w:cs="Times New Roman"/>
        </w:rPr>
      </w:pPr>
    </w:p>
    <w:p w14:paraId="7B58C4AD" w14:textId="77777777" w:rsidR="00B81D29" w:rsidRDefault="00B81D29" w:rsidP="00585A6C">
      <w:pPr>
        <w:jc w:val="both"/>
        <w:rPr>
          <w:rFonts w:ascii="Times New Roman" w:hAnsi="Times New Roman" w:cs="Times New Roman"/>
        </w:rPr>
      </w:pPr>
    </w:p>
    <w:p w14:paraId="3C652F4A" w14:textId="62AACA4D" w:rsidR="00F13E27" w:rsidRDefault="00F754BA" w:rsidP="00585A6C">
      <w:pPr>
        <w:jc w:val="both"/>
        <w:rPr>
          <w:rFonts w:ascii="Times New Roman" w:hAnsi="Times New Roman" w:cs="Times New Roman"/>
        </w:rPr>
      </w:pPr>
      <w:r w:rsidRPr="00F754BA">
        <w:rPr>
          <w:rFonts w:ascii="Times New Roman" w:hAnsi="Times New Roman" w:cs="Times New Roman"/>
        </w:rPr>
        <w:t xml:space="preserve">The regional differences in total polyphenol content (TPC) of BOPF black tea can be mostly </w:t>
      </w:r>
      <w:r>
        <w:rPr>
          <w:rFonts w:ascii="Times New Roman" w:hAnsi="Times New Roman" w:cs="Times New Roman"/>
        </w:rPr>
        <w:t>in</w:t>
      </w:r>
      <w:r w:rsidR="002360B4">
        <w:rPr>
          <w:rFonts w:ascii="Times New Roman" w:hAnsi="Times New Roman" w:cs="Times New Roman"/>
        </w:rPr>
        <w:t>fluenced by</w:t>
      </w:r>
      <w:r w:rsidRPr="00F754BA">
        <w:rPr>
          <w:rFonts w:ascii="Times New Roman" w:hAnsi="Times New Roman" w:cs="Times New Roman"/>
        </w:rPr>
        <w:t xml:space="preserve"> the agro-climatic factors that have an impact on secondary metabolite production in tea plants</w:t>
      </w:r>
      <w:r w:rsidR="002360B4">
        <w:rPr>
          <w:rFonts w:ascii="Times New Roman" w:hAnsi="Times New Roman" w:cs="Times New Roman"/>
        </w:rPr>
        <w:t>.</w:t>
      </w:r>
      <w:r w:rsidR="000C4FB5" w:rsidRPr="000C4FB5">
        <w:t xml:space="preserve"> </w:t>
      </w:r>
      <w:r w:rsidR="000C4FB5" w:rsidRPr="000C4FB5">
        <w:rPr>
          <w:rFonts w:ascii="Times New Roman" w:hAnsi="Times New Roman" w:cs="Times New Roman"/>
        </w:rPr>
        <w:t xml:space="preserve">The highest </w:t>
      </w:r>
      <w:r w:rsidR="00F31FBA">
        <w:rPr>
          <w:rFonts w:ascii="Times New Roman" w:hAnsi="Times New Roman" w:cs="Times New Roman"/>
        </w:rPr>
        <w:t xml:space="preserve">polyphenol content </w:t>
      </w:r>
      <w:r w:rsidR="000C4FB5" w:rsidRPr="000C4FB5">
        <w:rPr>
          <w:rFonts w:ascii="Times New Roman" w:hAnsi="Times New Roman" w:cs="Times New Roman"/>
        </w:rPr>
        <w:t xml:space="preserve">was </w:t>
      </w:r>
      <w:r w:rsidR="00176984">
        <w:rPr>
          <w:rFonts w:ascii="Times New Roman" w:hAnsi="Times New Roman" w:cs="Times New Roman"/>
        </w:rPr>
        <w:t xml:space="preserve">observed in </w:t>
      </w:r>
      <w:r w:rsidR="000C4FB5" w:rsidRPr="000C4FB5">
        <w:rPr>
          <w:rFonts w:ascii="Times New Roman" w:hAnsi="Times New Roman" w:cs="Times New Roman"/>
        </w:rPr>
        <w:t xml:space="preserve">tea </w:t>
      </w:r>
      <w:r w:rsidR="00176984">
        <w:rPr>
          <w:rFonts w:ascii="Times New Roman" w:hAnsi="Times New Roman" w:cs="Times New Roman"/>
        </w:rPr>
        <w:t xml:space="preserve">samples </w:t>
      </w:r>
      <w:r w:rsidR="000C4FB5" w:rsidRPr="000C4FB5">
        <w:rPr>
          <w:rFonts w:ascii="Times New Roman" w:hAnsi="Times New Roman" w:cs="Times New Roman"/>
        </w:rPr>
        <w:t xml:space="preserve">from Ruhuna, and this could be connected to the </w:t>
      </w:r>
      <w:r w:rsidR="00867DED" w:rsidRPr="000C4FB5">
        <w:rPr>
          <w:rFonts w:ascii="Times New Roman" w:hAnsi="Times New Roman" w:cs="Times New Roman"/>
        </w:rPr>
        <w:t>low elevation</w:t>
      </w:r>
      <w:r w:rsidR="000C4FB5" w:rsidRPr="000C4FB5">
        <w:rPr>
          <w:rFonts w:ascii="Times New Roman" w:hAnsi="Times New Roman" w:cs="Times New Roman"/>
        </w:rPr>
        <w:t xml:space="preserve"> growing conditions, which are characterized by higher temperatures and relatively intense sunlight exposure.</w:t>
      </w:r>
      <w:r w:rsidR="00D815BB" w:rsidRPr="00D815BB">
        <w:t xml:space="preserve"> </w:t>
      </w:r>
      <w:r w:rsidR="00D815BB" w:rsidRPr="00D815BB">
        <w:rPr>
          <w:rFonts w:ascii="Times New Roman" w:hAnsi="Times New Roman" w:cs="Times New Roman"/>
        </w:rPr>
        <w:t xml:space="preserve">Such environmental conditions can enhance the biosynthesis of polyphenols as a plant defense response to stress. Moreover, the warm weather may speed up the leaf's growth and hence facilitate catechins accumulation, which afterwards through </w:t>
      </w:r>
      <w:r w:rsidR="0024710C">
        <w:rPr>
          <w:rFonts w:ascii="Times New Roman" w:hAnsi="Times New Roman" w:cs="Times New Roman"/>
        </w:rPr>
        <w:t xml:space="preserve">enzymatic </w:t>
      </w:r>
      <w:r w:rsidR="00D815BB" w:rsidRPr="00D815BB">
        <w:rPr>
          <w:rFonts w:ascii="Times New Roman" w:hAnsi="Times New Roman" w:cs="Times New Roman"/>
        </w:rPr>
        <w:t xml:space="preserve">oxidation during black tea processing converts into theaflavins and </w:t>
      </w:r>
      <w:proofErr w:type="spellStart"/>
      <w:r w:rsidR="00D815BB" w:rsidRPr="00D815BB">
        <w:rPr>
          <w:rFonts w:ascii="Times New Roman" w:hAnsi="Times New Roman" w:cs="Times New Roman"/>
        </w:rPr>
        <w:t>thearubigins</w:t>
      </w:r>
      <w:proofErr w:type="spellEnd"/>
      <w:r w:rsidR="0024710C">
        <w:rPr>
          <w:rFonts w:ascii="Times New Roman" w:hAnsi="Times New Roman" w:cs="Times New Roman"/>
        </w:rPr>
        <w:t>,</w:t>
      </w:r>
      <w:r w:rsidR="00D815BB" w:rsidRPr="00D815BB">
        <w:rPr>
          <w:rFonts w:ascii="Times New Roman" w:hAnsi="Times New Roman" w:cs="Times New Roman"/>
        </w:rPr>
        <w:t xml:space="preserve"> contributing to the higher TPC being measured</w:t>
      </w:r>
      <w:r w:rsidR="00E50A82">
        <w:rPr>
          <w:rFonts w:ascii="Times New Roman" w:hAnsi="Times New Roman" w:cs="Times New Roman"/>
        </w:rPr>
        <w:t>.</w:t>
      </w:r>
      <w:r w:rsidR="000D0C1E" w:rsidRPr="000D0C1E">
        <w:t xml:space="preserve"> </w:t>
      </w:r>
      <w:r w:rsidR="000D0C1E" w:rsidRPr="000D0C1E">
        <w:rPr>
          <w:rFonts w:ascii="Times New Roman" w:hAnsi="Times New Roman" w:cs="Times New Roman"/>
        </w:rPr>
        <w:t xml:space="preserve">On the contrary, </w:t>
      </w:r>
      <w:r w:rsidR="00CC0BC3">
        <w:rPr>
          <w:rFonts w:ascii="Times New Roman" w:hAnsi="Times New Roman" w:cs="Times New Roman"/>
        </w:rPr>
        <w:t xml:space="preserve">the </w:t>
      </w:r>
      <w:r w:rsidR="000D0C1E" w:rsidRPr="000D0C1E">
        <w:rPr>
          <w:rFonts w:ascii="Times New Roman" w:hAnsi="Times New Roman" w:cs="Times New Roman"/>
        </w:rPr>
        <w:t>Uva and Dimbula areas had lesser polyphenol contents comparatively. The climatic conditions prevailing in these regions are mostly at high elevation and include cool temperatures and frequent misty conditions. Although such climate settings are given credit for producing teas with unique aroma and flavor, the harshness of the environment</w:t>
      </w:r>
      <w:r w:rsidR="00633330">
        <w:rPr>
          <w:rFonts w:ascii="Times New Roman" w:hAnsi="Times New Roman" w:cs="Times New Roman"/>
        </w:rPr>
        <w:t>,</w:t>
      </w:r>
      <w:r w:rsidR="000D0C1E" w:rsidRPr="000D0C1E">
        <w:rPr>
          <w:rFonts w:ascii="Times New Roman" w:hAnsi="Times New Roman" w:cs="Times New Roman"/>
        </w:rPr>
        <w:t xml:space="preserve"> together with the slow metabolic rates and decreased enzymatic activity might be the reasons for the limited polyphenol availability in the cooler climates.</w:t>
      </w:r>
      <w:r w:rsidR="001107E2" w:rsidRPr="001107E2">
        <w:t xml:space="preserve"> </w:t>
      </w:r>
      <w:r w:rsidR="001107E2" w:rsidRPr="001107E2">
        <w:rPr>
          <w:rFonts w:ascii="Times New Roman" w:hAnsi="Times New Roman" w:cs="Times New Roman"/>
        </w:rPr>
        <w:t xml:space="preserve">Moreover, strong winds in the Uva Region during certain seasons can cause leaf necrosis, </w:t>
      </w:r>
      <w:r w:rsidR="001107E2" w:rsidRPr="001107E2">
        <w:rPr>
          <w:rFonts w:ascii="Times New Roman" w:hAnsi="Times New Roman" w:cs="Times New Roman"/>
        </w:rPr>
        <w:lastRenderedPageBreak/>
        <w:t xml:space="preserve">which may be one way by which climate leaves its mark on the phenolic synthesis and oxidation patterns. Sabaragamuwa and Udu Pussellawa are the two regions that showed moderate levels of polyphenols, which probably mirror the intermediate </w:t>
      </w:r>
      <w:proofErr w:type="spellStart"/>
      <w:r w:rsidR="001107E2" w:rsidRPr="001107E2">
        <w:rPr>
          <w:rFonts w:ascii="Times New Roman" w:hAnsi="Times New Roman" w:cs="Times New Roman"/>
        </w:rPr>
        <w:t>agro</w:t>
      </w:r>
      <w:proofErr w:type="spellEnd"/>
      <w:r w:rsidR="001107E2" w:rsidRPr="001107E2">
        <w:rPr>
          <w:rFonts w:ascii="Times New Roman" w:hAnsi="Times New Roman" w:cs="Times New Roman"/>
        </w:rPr>
        <w:t>-climatic conditions. These regions have a problem of consistent rainfall and temperature, which supports stable plant metabolism without causing extreme stress that might result in moderate yet constant phenolic output.</w:t>
      </w:r>
    </w:p>
    <w:p w14:paraId="7DFF5095" w14:textId="77777777" w:rsidR="001107E2" w:rsidRDefault="001107E2" w:rsidP="00585A6C">
      <w:pPr>
        <w:jc w:val="both"/>
        <w:rPr>
          <w:rFonts w:ascii="Times New Roman" w:hAnsi="Times New Roman" w:cs="Times New Roman"/>
        </w:rPr>
      </w:pPr>
    </w:p>
    <w:p w14:paraId="4E57C05F" w14:textId="77777777" w:rsidR="001107E2" w:rsidRDefault="001107E2" w:rsidP="00585A6C">
      <w:pPr>
        <w:jc w:val="both"/>
        <w:rPr>
          <w:rFonts w:ascii="Times New Roman" w:hAnsi="Times New Roman" w:cs="Times New Roman"/>
        </w:rPr>
      </w:pPr>
    </w:p>
    <w:p w14:paraId="0425F485" w14:textId="640D3CF1" w:rsidR="001107E2" w:rsidRDefault="00594624" w:rsidP="00585A6C">
      <w:pPr>
        <w:jc w:val="both"/>
        <w:rPr>
          <w:rFonts w:ascii="Times New Roman" w:hAnsi="Times New Roman" w:cs="Times New Roman"/>
        </w:rPr>
      </w:pPr>
      <w:r w:rsidRPr="00594624">
        <w:rPr>
          <w:rFonts w:ascii="Times New Roman" w:hAnsi="Times New Roman" w:cs="Times New Roman"/>
        </w:rPr>
        <w:t>The content of dry matter varied significantly among the regions, with Sabaragamuwa being credited with the maximum value (94.60 ± 0.70 %) and Dimbula with the minimum (90.92 ± 0.51 %).</w:t>
      </w:r>
      <w:r w:rsidR="003D05A1">
        <w:rPr>
          <w:rFonts w:ascii="Times New Roman" w:hAnsi="Times New Roman" w:cs="Times New Roman"/>
        </w:rPr>
        <w:t xml:space="preserve"> </w:t>
      </w:r>
      <w:r w:rsidR="008B3108" w:rsidRPr="008B3108">
        <w:rPr>
          <w:rFonts w:ascii="Times New Roman" w:hAnsi="Times New Roman" w:cs="Times New Roman"/>
        </w:rPr>
        <w:t xml:space="preserve">It seems that higher dry matter content may be a result of moisture </w:t>
      </w:r>
      <w:r w:rsidR="003D05A1">
        <w:rPr>
          <w:rFonts w:ascii="Times New Roman" w:hAnsi="Times New Roman" w:cs="Times New Roman"/>
        </w:rPr>
        <w:t>being removed</w:t>
      </w:r>
      <w:r w:rsidR="008B3108" w:rsidRPr="008B3108">
        <w:rPr>
          <w:rFonts w:ascii="Times New Roman" w:hAnsi="Times New Roman" w:cs="Times New Roman"/>
        </w:rPr>
        <w:t xml:space="preserve"> more effectively during the withering and firing stages of processing, </w:t>
      </w:r>
      <w:proofErr w:type="gramStart"/>
      <w:r w:rsidR="008B3108" w:rsidRPr="008B3108">
        <w:rPr>
          <w:rFonts w:ascii="Times New Roman" w:hAnsi="Times New Roman" w:cs="Times New Roman"/>
        </w:rPr>
        <w:t>and</w:t>
      </w:r>
      <w:r w:rsidR="003D05A1">
        <w:rPr>
          <w:rFonts w:ascii="Times New Roman" w:hAnsi="Times New Roman" w:cs="Times New Roman"/>
        </w:rPr>
        <w:t xml:space="preserve"> </w:t>
      </w:r>
      <w:r w:rsidR="008B3108" w:rsidRPr="008B3108">
        <w:rPr>
          <w:rFonts w:ascii="Times New Roman" w:hAnsi="Times New Roman" w:cs="Times New Roman"/>
        </w:rPr>
        <w:t>also</w:t>
      </w:r>
      <w:proofErr w:type="gramEnd"/>
      <w:r w:rsidR="008B3108" w:rsidRPr="008B3108">
        <w:rPr>
          <w:rFonts w:ascii="Times New Roman" w:hAnsi="Times New Roman" w:cs="Times New Roman"/>
        </w:rPr>
        <w:t xml:space="preserve"> different levels of humidity in the surrounding areas during the manufacturing process. The regions that are characterized by higher atmospheric humidity may keep more moisture inside the product, and thus, lower dry matter values are obtained as in the case of Dimbula.</w:t>
      </w:r>
      <w:r w:rsidR="00C15FB4" w:rsidRPr="00C15FB4">
        <w:t xml:space="preserve"> </w:t>
      </w:r>
      <w:r w:rsidR="00C15FB4" w:rsidRPr="00C15FB4">
        <w:rPr>
          <w:rFonts w:ascii="Times New Roman" w:hAnsi="Times New Roman" w:cs="Times New Roman"/>
        </w:rPr>
        <w:t xml:space="preserve">Withering, rolling, fermentation, and drying are processing techniques that have a cap on dry matter and polyphenol stability degrees. Over-withering or heavy fermentation could be the reasons for polyphenol degradation, while insufficient drying could be the cause for moisture retention which influences dry matter measurements. Processing variations at </w:t>
      </w:r>
      <w:r w:rsidR="006A7C9D">
        <w:rPr>
          <w:rFonts w:ascii="Times New Roman" w:hAnsi="Times New Roman" w:cs="Times New Roman"/>
        </w:rPr>
        <w:t xml:space="preserve">the </w:t>
      </w:r>
      <w:r w:rsidR="00C15FB4" w:rsidRPr="00C15FB4">
        <w:rPr>
          <w:rFonts w:ascii="Times New Roman" w:hAnsi="Times New Roman" w:cs="Times New Roman"/>
        </w:rPr>
        <w:t xml:space="preserve">factory level </w:t>
      </w:r>
      <w:r w:rsidR="006A7C9D">
        <w:rPr>
          <w:rFonts w:ascii="Times New Roman" w:hAnsi="Times New Roman" w:cs="Times New Roman"/>
        </w:rPr>
        <w:t>before</w:t>
      </w:r>
      <w:r w:rsidR="00C15FB4" w:rsidRPr="00C15FB4">
        <w:rPr>
          <w:rFonts w:ascii="Times New Roman" w:hAnsi="Times New Roman" w:cs="Times New Roman"/>
        </w:rPr>
        <w:t xml:space="preserve"> sampling probably played a role in the regional patterns that were detected, even though standardized laboratory analysis was utilized.</w:t>
      </w:r>
    </w:p>
    <w:p w14:paraId="2EFDFD36" w14:textId="3CEE34E5" w:rsidR="00C15FB4" w:rsidRDefault="00DE68C1" w:rsidP="00585A6C">
      <w:pPr>
        <w:jc w:val="both"/>
        <w:rPr>
          <w:rFonts w:ascii="Times New Roman" w:hAnsi="Times New Roman" w:cs="Times New Roman"/>
        </w:rPr>
      </w:pPr>
      <w:r>
        <w:rPr>
          <w:rFonts w:ascii="Times New Roman" w:hAnsi="Times New Roman" w:cs="Times New Roman"/>
        </w:rPr>
        <w:t xml:space="preserve"> Other than a</w:t>
      </w:r>
      <w:r w:rsidRPr="00DE68C1">
        <w:rPr>
          <w:rFonts w:ascii="Times New Roman" w:hAnsi="Times New Roman" w:cs="Times New Roman"/>
        </w:rPr>
        <w:t xml:space="preserve">gricultural and processing factors, there are various elements that can be categorized as the causes of the differences that have been observed. Among them are </w:t>
      </w:r>
      <w:r>
        <w:rPr>
          <w:rFonts w:ascii="Times New Roman" w:hAnsi="Times New Roman" w:cs="Times New Roman"/>
        </w:rPr>
        <w:t xml:space="preserve">the </w:t>
      </w:r>
      <w:r w:rsidRPr="00DE68C1">
        <w:rPr>
          <w:rFonts w:ascii="Times New Roman" w:hAnsi="Times New Roman" w:cs="Times New Roman"/>
        </w:rPr>
        <w:t>genetics of the tea cultivars, picking standards (bud-to-leaf ratio), leaf age, soil nutrient availability, and seasonal harvesting periods. Another factor is microbial activity during fermentation and the conditions of storage before analysis</w:t>
      </w:r>
      <w:r>
        <w:rPr>
          <w:rFonts w:ascii="Times New Roman" w:hAnsi="Times New Roman" w:cs="Times New Roman"/>
        </w:rPr>
        <w:t>,</w:t>
      </w:r>
      <w:r w:rsidRPr="00DE68C1">
        <w:rPr>
          <w:rFonts w:ascii="Times New Roman" w:hAnsi="Times New Roman" w:cs="Times New Roman"/>
        </w:rPr>
        <w:t xml:space="preserve"> which can also influence polyphenol stability and moisture </w:t>
      </w:r>
      <w:r>
        <w:rPr>
          <w:rFonts w:ascii="Times New Roman" w:hAnsi="Times New Roman" w:cs="Times New Roman"/>
        </w:rPr>
        <w:t>retention</w:t>
      </w:r>
      <w:r w:rsidR="00FC70C2">
        <w:rPr>
          <w:rFonts w:ascii="Times New Roman" w:hAnsi="Times New Roman" w:cs="Times New Roman"/>
        </w:rPr>
        <w:t>.</w:t>
      </w:r>
    </w:p>
    <w:p w14:paraId="3644F3C0" w14:textId="77777777" w:rsidR="00C15FB4" w:rsidRDefault="00C15FB4" w:rsidP="00585A6C">
      <w:pPr>
        <w:jc w:val="both"/>
        <w:rPr>
          <w:rFonts w:ascii="Times New Roman" w:hAnsi="Times New Roman" w:cs="Times New Roman"/>
        </w:rPr>
      </w:pPr>
    </w:p>
    <w:p w14:paraId="30942266" w14:textId="36E9618C" w:rsidR="00F13E27" w:rsidRDefault="00FC70C2" w:rsidP="00585A6C">
      <w:pPr>
        <w:jc w:val="both"/>
        <w:rPr>
          <w:rFonts w:ascii="Times New Roman" w:hAnsi="Times New Roman" w:cs="Times New Roman"/>
          <w:b/>
          <w:bCs/>
        </w:rPr>
      </w:pPr>
      <w:r w:rsidRPr="00FC70C2">
        <w:rPr>
          <w:rFonts w:ascii="Times New Roman" w:hAnsi="Times New Roman" w:cs="Times New Roman"/>
          <w:b/>
          <w:bCs/>
        </w:rPr>
        <w:t>Conclusion</w:t>
      </w:r>
    </w:p>
    <w:p w14:paraId="2B50A900" w14:textId="16F640CA" w:rsidR="000525A5" w:rsidRDefault="000525A5" w:rsidP="00585A6C">
      <w:pPr>
        <w:jc w:val="both"/>
        <w:rPr>
          <w:rFonts w:ascii="Times New Roman" w:hAnsi="Times New Roman" w:cs="Times New Roman"/>
        </w:rPr>
      </w:pPr>
      <w:r w:rsidRPr="000F49D1">
        <w:rPr>
          <w:rFonts w:ascii="Times New Roman" w:hAnsi="Times New Roman" w:cs="Times New Roman"/>
        </w:rPr>
        <w:t xml:space="preserve">This </w:t>
      </w:r>
      <w:r w:rsidR="000F49D1">
        <w:rPr>
          <w:rFonts w:ascii="Times New Roman" w:hAnsi="Times New Roman" w:cs="Times New Roman"/>
        </w:rPr>
        <w:t>study</w:t>
      </w:r>
      <w:r w:rsidRPr="000F49D1">
        <w:rPr>
          <w:rFonts w:ascii="Times New Roman" w:hAnsi="Times New Roman" w:cs="Times New Roman"/>
        </w:rPr>
        <w:t xml:space="preserve"> presents a clear difference in total polyphenol and dry matter content of Sri Lankan BOPF black tea depending on the region. The tea from </w:t>
      </w:r>
      <w:r w:rsidR="00D51DE2">
        <w:rPr>
          <w:rFonts w:ascii="Times New Roman" w:hAnsi="Times New Roman" w:cs="Times New Roman"/>
        </w:rPr>
        <w:t xml:space="preserve">the </w:t>
      </w:r>
      <w:r w:rsidRPr="000F49D1">
        <w:rPr>
          <w:rFonts w:ascii="Times New Roman" w:hAnsi="Times New Roman" w:cs="Times New Roman"/>
        </w:rPr>
        <w:t>Ruhuna area was characterized by the highest phenolic compounds content along with moderate dry matter, whereas Uva and Dimbula estates were indicated by lower phenolic content irrespective of moisture factors. The joint evaluation of these factors creates a solid chemical foundation for the separation of tea-growing regions. The knowledge of these differences is decisive for the quality assessment of tea, origin verification, and the future development of analytical and sensor-based tools for the regional classification of Ceylon tea.</w:t>
      </w:r>
    </w:p>
    <w:p w14:paraId="3D0D27E9" w14:textId="77777777" w:rsidR="00B73A8D" w:rsidRDefault="00B73A8D" w:rsidP="00585A6C">
      <w:pPr>
        <w:jc w:val="both"/>
        <w:rPr>
          <w:rFonts w:ascii="Times New Roman" w:hAnsi="Times New Roman" w:cs="Times New Roman"/>
        </w:rPr>
      </w:pPr>
    </w:p>
    <w:p w14:paraId="4666C237" w14:textId="77777777" w:rsidR="00AC37B5" w:rsidRPr="00AC37B5" w:rsidRDefault="00AC37B5" w:rsidP="0080322A">
      <w:pPr>
        <w:rPr>
          <w:rFonts w:ascii="Times New Roman" w:hAnsi="Times New Roman" w:cs="Times New Roman"/>
        </w:rPr>
      </w:pPr>
      <w:r w:rsidRPr="00AC37B5">
        <w:rPr>
          <w:rFonts w:ascii="Times New Roman" w:hAnsi="Times New Roman" w:cs="Times New Roman"/>
          <w:b/>
        </w:rPr>
        <w:lastRenderedPageBreak/>
        <w:t>References:</w:t>
      </w:r>
    </w:p>
    <w:p w14:paraId="048E5749" w14:textId="77777777" w:rsidR="00B27A7A" w:rsidRDefault="00B27A7A" w:rsidP="0080322A">
      <w:pPr>
        <w:rPr>
          <w:rFonts w:ascii="Times New Roman" w:hAnsi="Times New Roman" w:cs="Times New Roman"/>
        </w:rPr>
      </w:pPr>
      <w:r w:rsidRPr="00B27A7A">
        <w:rPr>
          <w:rFonts w:ascii="Times New Roman" w:hAnsi="Times New Roman" w:cs="Times New Roman"/>
        </w:rPr>
        <w:t xml:space="preserve">Chandran, R., Chandnani, P., Devi, R., </w:t>
      </w:r>
      <w:proofErr w:type="spellStart"/>
      <w:r w:rsidRPr="00B27A7A">
        <w:rPr>
          <w:rFonts w:ascii="Times New Roman" w:hAnsi="Times New Roman" w:cs="Times New Roman"/>
        </w:rPr>
        <w:t>Tamuli</w:t>
      </w:r>
      <w:proofErr w:type="spellEnd"/>
      <w:r w:rsidRPr="00B27A7A">
        <w:rPr>
          <w:rFonts w:ascii="Times New Roman" w:hAnsi="Times New Roman" w:cs="Times New Roman"/>
        </w:rPr>
        <w:t xml:space="preserve">, A.K., Deka, H. and Baruah, A., 2023. Impact of the season on total polyphenol and antioxidant properties of tea cultivars of industrial importance in Northeast India. </w:t>
      </w:r>
      <w:r w:rsidRPr="00B27A7A">
        <w:rPr>
          <w:rFonts w:ascii="Times New Roman" w:hAnsi="Times New Roman" w:cs="Times New Roman"/>
          <w:i/>
          <w:iCs/>
        </w:rPr>
        <w:t>Foods</w:t>
      </w:r>
      <w:r w:rsidRPr="00B27A7A">
        <w:rPr>
          <w:rFonts w:ascii="Times New Roman" w:hAnsi="Times New Roman" w:cs="Times New Roman"/>
        </w:rPr>
        <w:t xml:space="preserve">, 12(17), p.3196. doi:10.3390/foods12173196. Available at: </w:t>
      </w:r>
      <w:hyperlink r:id="rId7" w:tgtFrame="_blank" w:history="1">
        <w:r w:rsidRPr="00B27A7A">
          <w:rPr>
            <w:rStyle w:val="Hyperlink"/>
            <w:rFonts w:ascii="Times New Roman" w:hAnsi="Times New Roman" w:cs="Times New Roman"/>
          </w:rPr>
          <w:t>https://www.mdpi.com/2304-8158/12/17/3196</w:t>
        </w:r>
      </w:hyperlink>
    </w:p>
    <w:p w14:paraId="13DB1D80" w14:textId="789B9ACB" w:rsidR="00D51DBD" w:rsidRDefault="00D51DBD" w:rsidP="0080322A">
      <w:pPr>
        <w:rPr>
          <w:rFonts w:ascii="Times New Roman" w:hAnsi="Times New Roman" w:cs="Times New Roman"/>
        </w:rPr>
      </w:pPr>
      <w:r w:rsidRPr="004C0EAB">
        <w:rPr>
          <w:rFonts w:ascii="Times New Roman" w:hAnsi="Times New Roman" w:cs="Times New Roman"/>
        </w:rPr>
        <w:t xml:space="preserve">Jayasekera, S., Ramzan, M.G., Shah, T., Greyling, R. and Tissera, P.S.A., 2011. Variation in antioxidant potential and total polyphenol content of different black tea grades from Sri Lanka and </w:t>
      </w:r>
      <w:proofErr w:type="spellStart"/>
      <w:r w:rsidRPr="004C0EAB">
        <w:rPr>
          <w:rFonts w:ascii="Times New Roman" w:hAnsi="Times New Roman" w:cs="Times New Roman"/>
        </w:rPr>
        <w:t>China.</w:t>
      </w:r>
      <w:r w:rsidRPr="004C0EAB">
        <w:rPr>
          <w:rFonts w:ascii="Times New Roman" w:hAnsi="Times New Roman" w:cs="Times New Roman"/>
          <w:i/>
          <w:iCs/>
        </w:rPr>
        <w:t>Food</w:t>
      </w:r>
      <w:proofErr w:type="spellEnd"/>
      <w:r w:rsidRPr="004C0EAB">
        <w:rPr>
          <w:rFonts w:ascii="Times New Roman" w:hAnsi="Times New Roman" w:cs="Times New Roman"/>
          <w:i/>
          <w:iCs/>
        </w:rPr>
        <w:t xml:space="preserve"> Chemistry</w:t>
      </w:r>
      <w:r w:rsidRPr="004C0EAB">
        <w:rPr>
          <w:rFonts w:ascii="Times New Roman" w:hAnsi="Times New Roman" w:cs="Times New Roman"/>
        </w:rPr>
        <w:t xml:space="preserve">, 129(3), pp.1283-1289. Available at: </w:t>
      </w:r>
      <w:hyperlink r:id="rId8" w:tgtFrame="_blank" w:history="1">
        <w:r w:rsidRPr="004C0EAB">
          <w:rPr>
            <w:rStyle w:val="Hyperlink"/>
            <w:rFonts w:ascii="Times New Roman" w:hAnsi="Times New Roman" w:cs="Times New Roman"/>
          </w:rPr>
          <w:t>https://www.sciencedirect.com/science/article/abs/pii/S030881461001118</w:t>
        </w:r>
      </w:hyperlink>
    </w:p>
    <w:p w14:paraId="2A7B6F11" w14:textId="77777777" w:rsidR="00D51DBD" w:rsidRDefault="00D51DBD" w:rsidP="0080322A">
      <w:pPr>
        <w:rPr>
          <w:rFonts w:ascii="Times New Roman" w:hAnsi="Times New Roman" w:cs="Times New Roman"/>
        </w:rPr>
      </w:pPr>
      <w:r w:rsidRPr="006276A4">
        <w:rPr>
          <w:rFonts w:ascii="Times New Roman" w:hAnsi="Times New Roman" w:cs="Times New Roman"/>
        </w:rPr>
        <w:t xml:space="preserve">Zhang, C., Suen, C.L.-C., Yang, C. and Quek, S.Y., 2018. Antioxidant capacity and major polyphenol composition of teas as affected by geographical location, plantation elevation and leaf grade. </w:t>
      </w:r>
      <w:r w:rsidRPr="006276A4">
        <w:rPr>
          <w:rFonts w:ascii="Times New Roman" w:hAnsi="Times New Roman" w:cs="Times New Roman"/>
          <w:i/>
          <w:iCs/>
        </w:rPr>
        <w:t>Food Chemistry</w:t>
      </w:r>
      <w:r w:rsidRPr="006276A4">
        <w:rPr>
          <w:rFonts w:ascii="Times New Roman" w:hAnsi="Times New Roman" w:cs="Times New Roman"/>
        </w:rPr>
        <w:t xml:space="preserve">, 241, pp.98-110. Available at: </w:t>
      </w:r>
      <w:hyperlink r:id="rId9" w:tgtFrame="_blank" w:history="1">
        <w:r w:rsidRPr="006276A4">
          <w:rPr>
            <w:rStyle w:val="Hyperlink"/>
            <w:rFonts w:ascii="Times New Roman" w:hAnsi="Times New Roman" w:cs="Times New Roman"/>
          </w:rPr>
          <w:t>https://www.sciencedirect.com/science/article/abs/pii/S0308814617316023</w:t>
        </w:r>
      </w:hyperlink>
    </w:p>
    <w:p w14:paraId="66F4451E" w14:textId="4C9F6922" w:rsidR="00E47CFD" w:rsidRDefault="0080322A" w:rsidP="0080322A">
      <w:pPr>
        <w:rPr>
          <w:rFonts w:ascii="Times New Roman" w:hAnsi="Times New Roman" w:cs="Times New Roman"/>
        </w:rPr>
      </w:pPr>
      <w:r>
        <w:rPr>
          <w:rFonts w:ascii="Times New Roman" w:hAnsi="Times New Roman" w:cs="Times New Roman"/>
        </w:rPr>
        <w:t>H</w:t>
      </w:r>
      <w:r w:rsidR="00E47CFD" w:rsidRPr="00E47CFD">
        <w:rPr>
          <w:rFonts w:ascii="Times New Roman" w:hAnsi="Times New Roman" w:cs="Times New Roman"/>
        </w:rPr>
        <w:t xml:space="preserve">. A. </w:t>
      </w:r>
      <w:proofErr w:type="spellStart"/>
      <w:r w:rsidR="00E47CFD" w:rsidRPr="00E47CFD">
        <w:rPr>
          <w:rFonts w:ascii="Times New Roman" w:hAnsi="Times New Roman" w:cs="Times New Roman"/>
        </w:rPr>
        <w:t>Chamodika</w:t>
      </w:r>
      <w:proofErr w:type="spellEnd"/>
      <w:r w:rsidR="00E47CFD" w:rsidRPr="00E47CFD">
        <w:rPr>
          <w:rFonts w:ascii="Times New Roman" w:hAnsi="Times New Roman" w:cs="Times New Roman"/>
        </w:rPr>
        <w:t>, D. D. C de S. Wanniarachchi, L.W. S. Munasinghe, (2023) ‘International Conference on Applied and Pure Sciences, 2023 Faculty of Science, University of Kelaniya, Sri Lanka’, p. 2023.</w:t>
      </w:r>
    </w:p>
    <w:p w14:paraId="0DB4B4C0" w14:textId="77777777" w:rsidR="004615A9" w:rsidRDefault="004615A9" w:rsidP="00D51DBD">
      <w:pPr>
        <w:rPr>
          <w:rFonts w:ascii="Times New Roman" w:hAnsi="Times New Roman" w:cs="Times New Roman"/>
        </w:rPr>
      </w:pPr>
    </w:p>
    <w:p w14:paraId="0E77F194" w14:textId="77777777" w:rsidR="00D51DBD" w:rsidRDefault="00D51DBD" w:rsidP="00D51DBD">
      <w:pPr>
        <w:rPr>
          <w:rFonts w:ascii="Times New Roman" w:hAnsi="Times New Roman" w:cs="Times New Roman"/>
        </w:rPr>
      </w:pPr>
    </w:p>
    <w:p w14:paraId="41F94BBB" w14:textId="77777777" w:rsidR="00D51DBD" w:rsidRPr="00F40ECA" w:rsidRDefault="00D51DBD" w:rsidP="00F40ECA">
      <w:pPr>
        <w:jc w:val="both"/>
        <w:rPr>
          <w:rFonts w:ascii="Times New Roman" w:hAnsi="Times New Roman" w:cs="Times New Roman"/>
        </w:rPr>
      </w:pPr>
    </w:p>
    <w:p w14:paraId="284D14C5" w14:textId="77777777" w:rsidR="004E67E5" w:rsidRDefault="004E67E5" w:rsidP="00585A6C">
      <w:pPr>
        <w:jc w:val="both"/>
        <w:rPr>
          <w:rFonts w:ascii="Times New Roman" w:hAnsi="Times New Roman" w:cs="Times New Roman"/>
        </w:rPr>
      </w:pPr>
    </w:p>
    <w:p w14:paraId="56AA331C" w14:textId="74D8123C" w:rsidR="006E7016" w:rsidRPr="000F49D1" w:rsidRDefault="006E7016" w:rsidP="00585A6C">
      <w:pPr>
        <w:jc w:val="both"/>
        <w:rPr>
          <w:rFonts w:ascii="Times New Roman" w:hAnsi="Times New Roman" w:cs="Times New Roman"/>
        </w:rPr>
      </w:pPr>
    </w:p>
    <w:sectPr w:rsidR="006E7016" w:rsidRPr="000F49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2C7F" w14:textId="77777777" w:rsidR="00637938" w:rsidRDefault="00637938" w:rsidP="006E52F4">
      <w:pPr>
        <w:spacing w:after="0" w:line="240" w:lineRule="auto"/>
      </w:pPr>
      <w:r>
        <w:separator/>
      </w:r>
    </w:p>
  </w:endnote>
  <w:endnote w:type="continuationSeparator" w:id="0">
    <w:p w14:paraId="45B1A738" w14:textId="77777777" w:rsidR="00637938" w:rsidRDefault="00637938" w:rsidP="006E5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352E" w14:textId="77777777" w:rsidR="00A33869" w:rsidRDefault="00A3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994904"/>
      <w:docPartObj>
        <w:docPartGallery w:val="Page Numbers (Bottom of Page)"/>
        <w:docPartUnique/>
      </w:docPartObj>
    </w:sdtPr>
    <w:sdtEndPr>
      <w:rPr>
        <w:noProof/>
      </w:rPr>
    </w:sdtEndPr>
    <w:sdtContent>
      <w:p w14:paraId="465AC836" w14:textId="098E623F" w:rsidR="00A33869" w:rsidRDefault="00A338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AA77B" w14:textId="77777777" w:rsidR="00A33869" w:rsidRDefault="00A33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F527" w14:textId="77777777" w:rsidR="00A33869" w:rsidRDefault="00A3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09C3E" w14:textId="77777777" w:rsidR="00637938" w:rsidRDefault="00637938" w:rsidP="006E52F4">
      <w:pPr>
        <w:spacing w:after="0" w:line="240" w:lineRule="auto"/>
      </w:pPr>
      <w:r>
        <w:separator/>
      </w:r>
    </w:p>
  </w:footnote>
  <w:footnote w:type="continuationSeparator" w:id="0">
    <w:p w14:paraId="4855D726" w14:textId="77777777" w:rsidR="00637938" w:rsidRDefault="00637938" w:rsidP="006E5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672E" w14:textId="77777777" w:rsidR="00A33869" w:rsidRDefault="00A3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D318" w14:textId="0F581416" w:rsidR="00B73A8D" w:rsidRPr="00B73A8D" w:rsidRDefault="00B73A8D" w:rsidP="00B73A8D">
    <w:pPr>
      <w:tabs>
        <w:tab w:val="center" w:pos="4680"/>
        <w:tab w:val="right" w:pos="9360"/>
      </w:tabs>
      <w:spacing w:after="0" w:line="240" w:lineRule="auto"/>
      <w:rPr>
        <w:rFonts w:ascii="Calibri" w:eastAsia="Calibri" w:hAnsi="Calibri" w:cs="Iskoola Pota"/>
        <w:i/>
        <w:iCs/>
        <w:kern w:val="0"/>
        <w:sz w:val="20"/>
        <w:szCs w:val="20"/>
        <w:lang w:bidi="ar-SA"/>
        <w14:ligatures w14:val="none"/>
      </w:rPr>
    </w:pPr>
  </w:p>
  <w:p w14:paraId="02A7FE07" w14:textId="6199444B" w:rsidR="007707B9" w:rsidRPr="007707B9" w:rsidRDefault="007707B9" w:rsidP="007707B9">
    <w:pPr>
      <w:pStyle w:val="Header"/>
      <w:rPr>
        <w:b/>
      </w:rPr>
    </w:pPr>
  </w:p>
  <w:p w14:paraId="36D871E4" w14:textId="77777777" w:rsidR="007707B9" w:rsidRDefault="00770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C5DB" w14:textId="77777777" w:rsidR="00A33869" w:rsidRDefault="00A33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9A"/>
    <w:rsid w:val="000007FC"/>
    <w:rsid w:val="00024A19"/>
    <w:rsid w:val="00027352"/>
    <w:rsid w:val="00035C7A"/>
    <w:rsid w:val="00037D02"/>
    <w:rsid w:val="000525A5"/>
    <w:rsid w:val="0006797E"/>
    <w:rsid w:val="0009076F"/>
    <w:rsid w:val="00094ABF"/>
    <w:rsid w:val="00096E4F"/>
    <w:rsid w:val="000C4FB5"/>
    <w:rsid w:val="000D0C1E"/>
    <w:rsid w:val="000E0497"/>
    <w:rsid w:val="000F49D1"/>
    <w:rsid w:val="00102796"/>
    <w:rsid w:val="001107E2"/>
    <w:rsid w:val="00112239"/>
    <w:rsid w:val="0011326A"/>
    <w:rsid w:val="00116FB3"/>
    <w:rsid w:val="0012244E"/>
    <w:rsid w:val="0012496A"/>
    <w:rsid w:val="00133A9E"/>
    <w:rsid w:val="00176984"/>
    <w:rsid w:val="001A788F"/>
    <w:rsid w:val="001B3E56"/>
    <w:rsid w:val="001C3BE0"/>
    <w:rsid w:val="001E73E1"/>
    <w:rsid w:val="002360B4"/>
    <w:rsid w:val="0024710C"/>
    <w:rsid w:val="00251787"/>
    <w:rsid w:val="00261D86"/>
    <w:rsid w:val="0026274E"/>
    <w:rsid w:val="002654FE"/>
    <w:rsid w:val="0027244E"/>
    <w:rsid w:val="0027758C"/>
    <w:rsid w:val="002B4F04"/>
    <w:rsid w:val="002C1A0E"/>
    <w:rsid w:val="002D4A42"/>
    <w:rsid w:val="002D5424"/>
    <w:rsid w:val="002E3515"/>
    <w:rsid w:val="002E62C6"/>
    <w:rsid w:val="00312D11"/>
    <w:rsid w:val="003319B9"/>
    <w:rsid w:val="00332A8F"/>
    <w:rsid w:val="003479F4"/>
    <w:rsid w:val="0035222D"/>
    <w:rsid w:val="003A1B7D"/>
    <w:rsid w:val="003B63E7"/>
    <w:rsid w:val="003D05A1"/>
    <w:rsid w:val="003F3E9B"/>
    <w:rsid w:val="003F4913"/>
    <w:rsid w:val="00420D66"/>
    <w:rsid w:val="00421216"/>
    <w:rsid w:val="004455D8"/>
    <w:rsid w:val="0044726B"/>
    <w:rsid w:val="004615A9"/>
    <w:rsid w:val="004663B6"/>
    <w:rsid w:val="00466552"/>
    <w:rsid w:val="00495D85"/>
    <w:rsid w:val="00497BC8"/>
    <w:rsid w:val="004A1202"/>
    <w:rsid w:val="004B45E6"/>
    <w:rsid w:val="004C0EAB"/>
    <w:rsid w:val="004D4B45"/>
    <w:rsid w:val="004E67E5"/>
    <w:rsid w:val="004F0A6A"/>
    <w:rsid w:val="00507F6E"/>
    <w:rsid w:val="00533972"/>
    <w:rsid w:val="0054051D"/>
    <w:rsid w:val="00546A12"/>
    <w:rsid w:val="00550E58"/>
    <w:rsid w:val="00552B41"/>
    <w:rsid w:val="00556CF2"/>
    <w:rsid w:val="00557C57"/>
    <w:rsid w:val="00560CB5"/>
    <w:rsid w:val="00562B12"/>
    <w:rsid w:val="00585A6C"/>
    <w:rsid w:val="00594624"/>
    <w:rsid w:val="005A2136"/>
    <w:rsid w:val="00601523"/>
    <w:rsid w:val="00614CBD"/>
    <w:rsid w:val="006276A4"/>
    <w:rsid w:val="00632CFD"/>
    <w:rsid w:val="00633330"/>
    <w:rsid w:val="00637938"/>
    <w:rsid w:val="00641758"/>
    <w:rsid w:val="00645CE3"/>
    <w:rsid w:val="00670D49"/>
    <w:rsid w:val="0068113B"/>
    <w:rsid w:val="00685164"/>
    <w:rsid w:val="006A2238"/>
    <w:rsid w:val="006A7C9D"/>
    <w:rsid w:val="006C0CC5"/>
    <w:rsid w:val="006C7C3F"/>
    <w:rsid w:val="006E52F4"/>
    <w:rsid w:val="006E7016"/>
    <w:rsid w:val="006E7E14"/>
    <w:rsid w:val="006F1508"/>
    <w:rsid w:val="00701533"/>
    <w:rsid w:val="00712FA6"/>
    <w:rsid w:val="0072236B"/>
    <w:rsid w:val="007321B8"/>
    <w:rsid w:val="00735753"/>
    <w:rsid w:val="00743995"/>
    <w:rsid w:val="007457FB"/>
    <w:rsid w:val="0076164B"/>
    <w:rsid w:val="007707B9"/>
    <w:rsid w:val="00793944"/>
    <w:rsid w:val="007C33AA"/>
    <w:rsid w:val="007E40D5"/>
    <w:rsid w:val="007F4135"/>
    <w:rsid w:val="0080322A"/>
    <w:rsid w:val="00816717"/>
    <w:rsid w:val="008203FD"/>
    <w:rsid w:val="00823B90"/>
    <w:rsid w:val="008265B7"/>
    <w:rsid w:val="00832DDA"/>
    <w:rsid w:val="00851ED0"/>
    <w:rsid w:val="00851F6A"/>
    <w:rsid w:val="00867DED"/>
    <w:rsid w:val="00882233"/>
    <w:rsid w:val="0088457C"/>
    <w:rsid w:val="00894399"/>
    <w:rsid w:val="008A4E40"/>
    <w:rsid w:val="008B06D4"/>
    <w:rsid w:val="008B3108"/>
    <w:rsid w:val="008C5033"/>
    <w:rsid w:val="009047E2"/>
    <w:rsid w:val="00913D65"/>
    <w:rsid w:val="00946EFC"/>
    <w:rsid w:val="00952BCA"/>
    <w:rsid w:val="00976ABC"/>
    <w:rsid w:val="00980849"/>
    <w:rsid w:val="009C56D5"/>
    <w:rsid w:val="009D4426"/>
    <w:rsid w:val="00A0688D"/>
    <w:rsid w:val="00A139FA"/>
    <w:rsid w:val="00A33869"/>
    <w:rsid w:val="00A37491"/>
    <w:rsid w:val="00A51019"/>
    <w:rsid w:val="00A71FF5"/>
    <w:rsid w:val="00A8290C"/>
    <w:rsid w:val="00A833AD"/>
    <w:rsid w:val="00A91EDF"/>
    <w:rsid w:val="00AA7AD2"/>
    <w:rsid w:val="00AB22A1"/>
    <w:rsid w:val="00AB72CF"/>
    <w:rsid w:val="00AC35A2"/>
    <w:rsid w:val="00AC37B5"/>
    <w:rsid w:val="00AE47B8"/>
    <w:rsid w:val="00AF1963"/>
    <w:rsid w:val="00B12A68"/>
    <w:rsid w:val="00B14B81"/>
    <w:rsid w:val="00B1779A"/>
    <w:rsid w:val="00B22823"/>
    <w:rsid w:val="00B27A7A"/>
    <w:rsid w:val="00B34871"/>
    <w:rsid w:val="00B51A70"/>
    <w:rsid w:val="00B73A8D"/>
    <w:rsid w:val="00B74BC5"/>
    <w:rsid w:val="00B81D29"/>
    <w:rsid w:val="00B930B4"/>
    <w:rsid w:val="00BA0CC8"/>
    <w:rsid w:val="00BA1871"/>
    <w:rsid w:val="00BA2ED6"/>
    <w:rsid w:val="00BA769A"/>
    <w:rsid w:val="00BD212D"/>
    <w:rsid w:val="00C0137C"/>
    <w:rsid w:val="00C15FB4"/>
    <w:rsid w:val="00C17A1C"/>
    <w:rsid w:val="00C23591"/>
    <w:rsid w:val="00C325A3"/>
    <w:rsid w:val="00C634E8"/>
    <w:rsid w:val="00C6741A"/>
    <w:rsid w:val="00C86732"/>
    <w:rsid w:val="00C87DA6"/>
    <w:rsid w:val="00C913F6"/>
    <w:rsid w:val="00C97040"/>
    <w:rsid w:val="00CC0BC3"/>
    <w:rsid w:val="00CD2E0C"/>
    <w:rsid w:val="00CE704C"/>
    <w:rsid w:val="00D07AF1"/>
    <w:rsid w:val="00D14187"/>
    <w:rsid w:val="00D15BAB"/>
    <w:rsid w:val="00D31B6F"/>
    <w:rsid w:val="00D35215"/>
    <w:rsid w:val="00D45194"/>
    <w:rsid w:val="00D4579B"/>
    <w:rsid w:val="00D51DBD"/>
    <w:rsid w:val="00D51DE2"/>
    <w:rsid w:val="00D54583"/>
    <w:rsid w:val="00D63657"/>
    <w:rsid w:val="00D6493E"/>
    <w:rsid w:val="00D71D08"/>
    <w:rsid w:val="00D815BB"/>
    <w:rsid w:val="00D93A49"/>
    <w:rsid w:val="00DA669C"/>
    <w:rsid w:val="00DC440A"/>
    <w:rsid w:val="00DE0B02"/>
    <w:rsid w:val="00DE4A9D"/>
    <w:rsid w:val="00DE68C1"/>
    <w:rsid w:val="00DF1826"/>
    <w:rsid w:val="00DF1AD1"/>
    <w:rsid w:val="00E0070E"/>
    <w:rsid w:val="00E026A2"/>
    <w:rsid w:val="00E308FB"/>
    <w:rsid w:val="00E344FF"/>
    <w:rsid w:val="00E35642"/>
    <w:rsid w:val="00E426FC"/>
    <w:rsid w:val="00E47CFD"/>
    <w:rsid w:val="00E50A82"/>
    <w:rsid w:val="00E525ED"/>
    <w:rsid w:val="00E6114A"/>
    <w:rsid w:val="00E63F68"/>
    <w:rsid w:val="00E67D8A"/>
    <w:rsid w:val="00E71E56"/>
    <w:rsid w:val="00E85CE7"/>
    <w:rsid w:val="00ED3648"/>
    <w:rsid w:val="00EE03EB"/>
    <w:rsid w:val="00EF2794"/>
    <w:rsid w:val="00EF6B53"/>
    <w:rsid w:val="00EF6D9A"/>
    <w:rsid w:val="00F03B32"/>
    <w:rsid w:val="00F13E27"/>
    <w:rsid w:val="00F210D5"/>
    <w:rsid w:val="00F31FBA"/>
    <w:rsid w:val="00F40ECA"/>
    <w:rsid w:val="00F74949"/>
    <w:rsid w:val="00F754BA"/>
    <w:rsid w:val="00FB5656"/>
    <w:rsid w:val="00FC2F84"/>
    <w:rsid w:val="00FC70C2"/>
    <w:rsid w:val="00FD2340"/>
    <w:rsid w:val="00FD76AA"/>
    <w:rsid w:val="00FE2427"/>
    <w:rsid w:val="00FE4CE4"/>
    <w:rsid w:val="00FF32CB"/>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C0875"/>
  <w15:chartTrackingRefBased/>
  <w15:docId w15:val="{2AD11084-0582-488C-B47D-3771384F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D9A"/>
    <w:rPr>
      <w:rFonts w:eastAsiaTheme="majorEastAsia" w:cstheme="majorBidi"/>
      <w:color w:val="272727" w:themeColor="text1" w:themeTint="D8"/>
    </w:rPr>
  </w:style>
  <w:style w:type="paragraph" w:styleId="Title">
    <w:name w:val="Title"/>
    <w:basedOn w:val="Normal"/>
    <w:next w:val="Normal"/>
    <w:link w:val="TitleChar"/>
    <w:uiPriority w:val="10"/>
    <w:qFormat/>
    <w:rsid w:val="00EF6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D9A"/>
    <w:pPr>
      <w:spacing w:before="160"/>
      <w:jc w:val="center"/>
    </w:pPr>
    <w:rPr>
      <w:i/>
      <w:iCs/>
      <w:color w:val="404040" w:themeColor="text1" w:themeTint="BF"/>
    </w:rPr>
  </w:style>
  <w:style w:type="character" w:customStyle="1" w:styleId="QuoteChar">
    <w:name w:val="Quote Char"/>
    <w:basedOn w:val="DefaultParagraphFont"/>
    <w:link w:val="Quote"/>
    <w:uiPriority w:val="29"/>
    <w:rsid w:val="00EF6D9A"/>
    <w:rPr>
      <w:i/>
      <w:iCs/>
      <w:color w:val="404040" w:themeColor="text1" w:themeTint="BF"/>
    </w:rPr>
  </w:style>
  <w:style w:type="paragraph" w:styleId="ListParagraph">
    <w:name w:val="List Paragraph"/>
    <w:basedOn w:val="Normal"/>
    <w:uiPriority w:val="34"/>
    <w:qFormat/>
    <w:rsid w:val="00EF6D9A"/>
    <w:pPr>
      <w:ind w:left="720"/>
      <w:contextualSpacing/>
    </w:pPr>
  </w:style>
  <w:style w:type="character" w:styleId="IntenseEmphasis">
    <w:name w:val="Intense Emphasis"/>
    <w:basedOn w:val="DefaultParagraphFont"/>
    <w:uiPriority w:val="21"/>
    <w:qFormat/>
    <w:rsid w:val="00EF6D9A"/>
    <w:rPr>
      <w:i/>
      <w:iCs/>
      <w:color w:val="0F4761" w:themeColor="accent1" w:themeShade="BF"/>
    </w:rPr>
  </w:style>
  <w:style w:type="paragraph" w:styleId="IntenseQuote">
    <w:name w:val="Intense Quote"/>
    <w:basedOn w:val="Normal"/>
    <w:next w:val="Normal"/>
    <w:link w:val="IntenseQuoteChar"/>
    <w:uiPriority w:val="30"/>
    <w:qFormat/>
    <w:rsid w:val="00EF6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D9A"/>
    <w:rPr>
      <w:i/>
      <w:iCs/>
      <w:color w:val="0F4761" w:themeColor="accent1" w:themeShade="BF"/>
    </w:rPr>
  </w:style>
  <w:style w:type="character" w:styleId="IntenseReference">
    <w:name w:val="Intense Reference"/>
    <w:basedOn w:val="DefaultParagraphFont"/>
    <w:uiPriority w:val="32"/>
    <w:qFormat/>
    <w:rsid w:val="00EF6D9A"/>
    <w:rPr>
      <w:b/>
      <w:bCs/>
      <w:smallCaps/>
      <w:color w:val="0F4761" w:themeColor="accent1" w:themeShade="BF"/>
      <w:spacing w:val="5"/>
    </w:rPr>
  </w:style>
  <w:style w:type="table" w:styleId="TableGrid">
    <w:name w:val="Table Grid"/>
    <w:basedOn w:val="TableNormal"/>
    <w:uiPriority w:val="39"/>
    <w:rsid w:val="00EF6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2F4"/>
  </w:style>
  <w:style w:type="paragraph" w:styleId="Footer">
    <w:name w:val="footer"/>
    <w:basedOn w:val="Normal"/>
    <w:link w:val="FooterChar"/>
    <w:uiPriority w:val="99"/>
    <w:unhideWhenUsed/>
    <w:rsid w:val="006E5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2F4"/>
  </w:style>
  <w:style w:type="character" w:styleId="Hyperlink">
    <w:name w:val="Hyperlink"/>
    <w:basedOn w:val="DefaultParagraphFont"/>
    <w:uiPriority w:val="99"/>
    <w:unhideWhenUsed/>
    <w:rsid w:val="00D45194"/>
    <w:rPr>
      <w:color w:val="467886" w:themeColor="hyperlink"/>
      <w:u w:val="single"/>
    </w:rPr>
  </w:style>
  <w:style w:type="character" w:styleId="UnresolvedMention">
    <w:name w:val="Unresolved Mention"/>
    <w:basedOn w:val="DefaultParagraphFont"/>
    <w:uiPriority w:val="99"/>
    <w:semiHidden/>
    <w:unhideWhenUsed/>
    <w:rsid w:val="00D45194"/>
    <w:rPr>
      <w:color w:val="605E5C"/>
      <w:shd w:val="clear" w:color="auto" w:fill="E1DFDD"/>
    </w:rPr>
  </w:style>
  <w:style w:type="character" w:styleId="PlaceholderText">
    <w:name w:val="Placeholder Text"/>
    <w:basedOn w:val="DefaultParagraphFont"/>
    <w:uiPriority w:val="99"/>
    <w:semiHidden/>
    <w:rsid w:val="00B930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abs/pii/S030881461001118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pi.com/2304-8158/12/17/3196"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science/article/abs/pii/S0308814617316023"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3D7D85-C384-4567-A598-7A858DE78C6D}"/>
      </w:docPartPr>
      <w:docPartBody>
        <w:p w:rsidR="00220164" w:rsidRDefault="00220164">
          <w:r w:rsidRPr="00DD63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Iskoola Pota">
    <w:panose1 w:val="020B0502040204020203"/>
    <w:charset w:val="00"/>
    <w:family w:val="swiss"/>
    <w:pitch w:val="variable"/>
    <w:sig w:usb0="00000003" w:usb1="00000000" w:usb2="000002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64"/>
    <w:rsid w:val="001810BD"/>
    <w:rsid w:val="001C3BE0"/>
    <w:rsid w:val="00220164"/>
    <w:rsid w:val="00712FA6"/>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16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4"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D0A0B2-23D3-42B7-9F32-9533E0EF0E74}">
  <we:reference id="WA104382081" version="1.55.1.0" store="Omex" storeType="OMEX"/>
  <we:alternateReferences>
    <we:reference id="WA104382081" version="1.55.1.0" store="WA104382081" storeType="OMEX"/>
  </we:alternateReferences>
  <we:properties>
    <we:property name="MENDELEY_CITATIONS" value="[{&quot;citationID&quot;:&quot;MENDELEY_CITATION_f14c1741-9d3f-4bb6-bf44-a5109bf124c5&quot;,&quot;properties&quot;:{&quot;noteIndex&quot;:0},&quot;isEdited&quot;:false,&quot;manualOverride&quot;:{&quot;isManuallyOverridden&quot;:false,&quot;citeprocText&quot;:&quot;(Zhang et al., 2018)&quot;,&quot;manualOverrideText&quot;:&quot;&quot;},&quot;citationTag&quot;:&quot;MENDELEY_CITATION_v3_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&quot;,&quot;citationItems&quot;:[{&quot;id&quot;:&quot;a486b09f-f660-3880-8897-f836fa0a05be&quot;,&quot;itemData&quot;:{&quot;type&quot;:&quot;article-journal&quot;,&quot;id&quot;:&quot;a486b09f-f660-3880-8897-f836fa0a05be&quot;,&quot;title&quot;:&quot;Antioxidant capacity and major polyphenol composition of teas as affected by geographical location, plantation elevation and leaf grade&quot;,&quot;author&quot;:[{&quot;family&quot;:&quot;Zhang&quot;,&quot;given&quot;:&quot;Chuang&quot;,&quot;parse-names&quot;:false,&quot;dropping-particle&quot;:&quot;&quot;,&quot;non-dropping-particle&quot;:&quot;&quot;},{&quot;family&quot;:&quot;Suen&quot;,&quot;given&quot;:&quot;Claire Li Chieh&quot;,&quot;parse-names&quot;:false,&quot;dropping-particle&quot;:&quot;&quot;,&quot;non-dropping-particle&quot;:&quot;&quot;},{&quot;family&quot;:&quot;Yang&quot;,&quot;given&quot;:&quot;Chao&quot;,&quot;parse-names&quot;:false,&quot;dropping-particle&quot;:&quot;&quot;,&quot;non-dropping-particle&quot;:&quot;&quot;},{&quot;family&quot;:&quot;Quek&quot;,&quot;given&quot;:&quot;Siew Young&quot;,&quot;parse-names&quot;:false,&quot;dropping-particle&quot;:&quot;&quot;,&quot;non-dropping-particle&quot;:&quot;&quot;}],&quot;container-title&quot;:&quot;Food Chemistry&quot;,&quot;container-title-short&quot;:&quot;Food Chem&quot;,&quot;accessed&quot;:{&quot;date-parts&quot;:[[2025,12,15]]},&quot;DOI&quot;:&quot;10.1016/J.FOODCHEM.2017.09.126&quot;,&quot;ISSN&quot;:&quot;0308-8146&quot;,&quot;PMID&quot;:&quot;29120758&quot;,&quot;issued&quot;:{&quot;date-parts&quot;:[[2018,4,1]]},&quot;page&quot;:&quot;109-119&quot;,&quot;abstract&quot;:&quot;Tea polyphenols have been a topic of discussion due to their health benefits. Nevertheless, detailed studies on the antioxidant capacity and polyphenol contents of teas in relation to factors including geographical locations, plantation elevations and leaf grades have been limited. In this study, 53 tea samples were analysed to determine the individual and total catechin and theaflavin contents by HPLC and the total antioxidant capacity by Oxygen Radical Absorbance Capacity (ORAC) methods. Results show that the polyphenol (catechins and theaflavins) contents were significantly influenced by plantation location. Black tea from low plantation elevation contained 22–28% more polyphenols than those from high elevation. Small tea leaves had up to 15% more polyphenols than larger leaves from similar elevation. The results were further confirmed by Principal Composition Analysis (PCA), which grouped the black and green tea samples into 3 different clusters, respectively.&quot;,&quot;publisher&quot;:&quot;Elsevier&quot;,&quot;volume&quot;:&quot;244&quot;},&quot;isTemporary&quot;:false}]},{&quot;citationID&quot;:&quot;MENDELEY_CITATION_e03e6ca9-001a-4543-8e34-0b258848bc60&quot;,&quot;properties&quot;:{&quot;noteIndex&quot;:0},&quot;isEdited&quot;:false,&quot;manualOverride&quot;:{&quot;isManuallyOverridden&quot;:false,&quot;citeprocText&quot;:&quot;(Jayasekera et al., 2011)&quot;,&quot;manualOverrideText&quot;:&quot;&quot;},&quot;citationTag&quot;:&quot;MENDELEY_CITATION_v3_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&quot;,&quot;citationItems&quot;:[{&quot;id&quot;:&quot;dc2cdec9-8828-3fee-9093-1a6c2131824e&quot;,&quot;itemData&quot;:{&quot;type&quot;:&quot;article-journal&quot;,&quot;id&quot;:&quot;dc2cdec9-8828-3fee-9093-1a6c2131824e&quot;,&quot;title&quot;:&quot;Variation in antioxidant potential and total polyphenol content of fresh and fully-fermented Sri Lankan tea&quot;,&quot;author&quot;:[{&quot;family&quot;:&quot;Jayasekera&quot;,&quot;given&quot;:&quot;S.&quot;,&quot;parse-names&quot;:false,&quot;dropping-particle&quot;:&quot;&quot;,&quot;non-dropping-particle&quot;:&quot;&quot;},{&quot;family&quot;:&quot;Molan&quot;,&quot;given&quot;:&quot;A. L.&quot;,&quot;parse-names&quot;:false,&quot;dropping-particle&quot;:&quot;&quot;,&quot;non-dropping-particle&quot;:&quot;&quot;},{&quot;family&quot;:&quot;Garg&quot;,&quot;given&quot;:&quot;M.&quot;,&quot;parse-names&quot;:false,&quot;dropping-particle&quot;:&quot;&quot;,&quot;non-dropping-particle&quot;:&quot;&quot;},{&quot;family&quot;:&quot;Moughan&quot;,&quot;given&quot;:&quot;P. J.&quot;,&quot;parse-names&quot;:false,&quot;dropping-particle&quot;:&quot;&quot;,&quot;non-dropping-particle&quot;:&quot;&quot;}],&quot;container-title&quot;:&quot;Food Chemistry&quot;,&quot;container-title-short&quot;:&quot;Food Chem&quot;,&quot;accessed&quot;:{&quot;date-parts&quot;:[[2025,12,15]]},&quot;DOI&quot;:&quot;10.1016/J.FOODCHEM.2010.09.045&quot;,&quot;ISSN&quot;:&quot;0308-8146&quot;,&quot;URL&quot;:&quot;https://www.sciencedirect.com/science/article/abs/pii/S0308814610011180&quot;,&quot;issued&quot;:{&quot;date-parts&quot;:[[2011,3,15]]},&quot;page&quot;:&quot;536-541&quot;,&quot;abstract&quot;:&quot;Tea polyphenols possess antioxidant properties and have been shown to have a protective effect against several degenerative diseases. The study aimed to determine the amounts of polyphenols and antioxidant properties for teas grown in Sri Lanka, over a period of 10. months. Water extracts of freeze-dried fresh (unfermented) and fully-fermented tea leaves were made for a structured set of samples (fermented and unfermented teas from six plantations; teas representing two harvesting seasons from four plantations) collected from the main tea growing regions in Sri Lanka. Total phenolic content (TPC), the ferric reducing antioxidant power (FRAP) and the 2,2-diphenyl-1-picrylhydrazyl (DPPH) radical-scavenging activity were determined for each sample. The results highlight significant (P&lt; 0.05) variations in antioxidant activity across the six plantations. FRAP and DPPH for both fermented and unfermented teas from the four highland plantations showed a significant (P&lt; 0.05) interaction between season and plantation. A similar interaction between season and plantation was observed for total phenolics in unfermented teas from the four highland plantations. The variability of the total phenolics for fermented teas, however, was independent of seasonal variations. A significant correlation (r= 0.5, P&lt; 0.05) was observed between FRAP and total phenolics. © 2010 Elsevier Ltd.&quot;,&quot;publisher&quot;:&quot;Elsevier&quot;,&quot;issue&quot;:&quot;2&quot;,&quot;volume&quot;:&quot;125&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EF25-6F85-4BF1-A821-E47159E2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5</Pages>
  <Words>1471</Words>
  <Characters>8647</Characters>
  <Application>Microsoft Office Word</Application>
  <DocSecurity>0</DocSecurity>
  <Lines>179</Lines>
  <Paragraphs>44</Paragraphs>
  <ScaleCrop>false</ScaleCrop>
  <Company/>
  <LinksUpToDate>false</LinksUpToDate>
  <CharactersWithSpaces>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BS/2020/133 - WEERARATHNE L.A.K.M.</dc:creator>
  <cp:keywords/>
  <dc:description/>
  <cp:lastModifiedBy>BS/2020/133 - WEERARATHNE L.A.K.M.</cp:lastModifiedBy>
  <cp:revision>239</cp:revision>
  <dcterms:created xsi:type="dcterms:W3CDTF">2025-12-11T08:08:00Z</dcterms:created>
  <dcterms:modified xsi:type="dcterms:W3CDTF">2025-12-31T15:57:00Z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154ca4c9-bb2a-454f-b78e-aafc7f99e528</vt:lpwstr>
  </property>
</Properties>
</file>