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ACFE3" w14:textId="77777777" w:rsidR="00430A9A" w:rsidRDefault="00430A9A" w:rsidP="00430A9A">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Eusocial structure of </w:t>
      </w:r>
      <w:r w:rsidRPr="00FF3757">
        <w:rPr>
          <w:rFonts w:ascii="Times New Roman" w:hAnsi="Times New Roman" w:cs="Times New Roman"/>
          <w:b/>
          <w:bCs/>
          <w:i/>
          <w:iCs/>
          <w:sz w:val="28"/>
          <w:szCs w:val="28"/>
        </w:rPr>
        <w:t>Macrotermes</w:t>
      </w:r>
      <w:r>
        <w:rPr>
          <w:rFonts w:ascii="Times New Roman" w:hAnsi="Times New Roman" w:cs="Times New Roman"/>
          <w:b/>
          <w:bCs/>
          <w:sz w:val="28"/>
          <w:szCs w:val="28"/>
        </w:rPr>
        <w:t xml:space="preserve"> and competitive ability of Mycopathogens targeting </w:t>
      </w:r>
      <w:r w:rsidRPr="00FF3757">
        <w:rPr>
          <w:rFonts w:ascii="Times New Roman" w:hAnsi="Times New Roman" w:cs="Times New Roman"/>
          <w:b/>
          <w:bCs/>
          <w:i/>
          <w:iCs/>
          <w:sz w:val="28"/>
          <w:szCs w:val="28"/>
        </w:rPr>
        <w:t>Termitomyces</w:t>
      </w:r>
      <w:r>
        <w:rPr>
          <w:rFonts w:ascii="Times New Roman" w:hAnsi="Times New Roman" w:cs="Times New Roman"/>
          <w:b/>
          <w:bCs/>
          <w:sz w:val="28"/>
          <w:szCs w:val="28"/>
        </w:rPr>
        <w:t xml:space="preserve"> and the Termites using different eco-friendly formulatons</w:t>
      </w:r>
    </w:p>
    <w:p w14:paraId="3F25F103" w14:textId="242FCF53" w:rsidR="00430A9A" w:rsidRPr="00430A9A" w:rsidRDefault="00430A9A" w:rsidP="00430A9A">
      <w:pPr>
        <w:spacing w:line="240" w:lineRule="auto"/>
        <w:jc w:val="center"/>
        <w:rPr>
          <w:rFonts w:ascii="Times New Roman" w:hAnsi="Times New Roman" w:cs="Times New Roman"/>
          <w:sz w:val="28"/>
          <w:szCs w:val="28"/>
        </w:rPr>
      </w:pPr>
      <w:r w:rsidRPr="00430A9A">
        <w:rPr>
          <w:rFonts w:ascii="Times New Roman" w:hAnsi="Times New Roman" w:cs="Times New Roman"/>
        </w:rPr>
        <w:t>S.Kugatharshini*, V.Jegathambigai</w:t>
      </w:r>
      <w:r w:rsidR="003062F6">
        <w:rPr>
          <w:rFonts w:ascii="Times New Roman" w:hAnsi="Times New Roman" w:cs="Times New Roman"/>
        </w:rPr>
        <w:t xml:space="preserve">, </w:t>
      </w:r>
      <w:r w:rsidRPr="00430A9A">
        <w:rPr>
          <w:rFonts w:ascii="Times New Roman" w:hAnsi="Times New Roman" w:cs="Times New Roman"/>
        </w:rPr>
        <w:t>S.Sritharan</w:t>
      </w:r>
      <w:r w:rsidR="003062F6">
        <w:rPr>
          <w:rFonts w:ascii="Times New Roman" w:hAnsi="Times New Roman" w:cs="Times New Roman"/>
        </w:rPr>
        <w:t xml:space="preserve"> and G.Mikunthan</w:t>
      </w:r>
    </w:p>
    <w:p w14:paraId="2D9BC6C0" w14:textId="77777777" w:rsidR="00430A9A" w:rsidRPr="00430A9A" w:rsidRDefault="00430A9A" w:rsidP="00430A9A">
      <w:pPr>
        <w:spacing w:line="240" w:lineRule="auto"/>
        <w:jc w:val="center"/>
        <w:rPr>
          <w:rFonts w:ascii="Times New Roman" w:hAnsi="Times New Roman" w:cs="Times New Roman"/>
          <w:sz w:val="22"/>
          <w:szCs w:val="22"/>
        </w:rPr>
      </w:pPr>
      <w:r w:rsidRPr="00430A9A">
        <w:rPr>
          <w:rFonts w:ascii="Times New Roman" w:hAnsi="Times New Roman" w:cs="Times New Roman"/>
          <w:sz w:val="22"/>
          <w:szCs w:val="22"/>
        </w:rPr>
        <w:t>Department of Agricultural Biology, Faculty of Agriculture, University of Jaffna, Ariviyal Nagar, Kilinochchi, Sri Lanka.</w:t>
      </w:r>
    </w:p>
    <w:p w14:paraId="73BA1338" w14:textId="5578E570" w:rsidR="00430A9A" w:rsidRPr="00430A9A" w:rsidRDefault="00430A9A" w:rsidP="00430A9A">
      <w:pPr>
        <w:spacing w:line="240" w:lineRule="auto"/>
        <w:jc w:val="center"/>
        <w:rPr>
          <w:rFonts w:ascii="Times New Roman" w:hAnsi="Times New Roman" w:cs="Times New Roman"/>
        </w:rPr>
      </w:pPr>
      <w:r w:rsidRPr="00430A9A">
        <w:rPr>
          <w:rFonts w:ascii="Times New Roman" w:hAnsi="Times New Roman" w:cs="Times New Roman"/>
          <w:sz w:val="22"/>
          <w:szCs w:val="22"/>
        </w:rPr>
        <w:t>*Corresponding Author: S.Kugatharshini</w:t>
      </w:r>
      <w:r w:rsidR="00506E82">
        <w:rPr>
          <w:rFonts w:ascii="Times New Roman" w:hAnsi="Times New Roman" w:cs="Times New Roman"/>
          <w:sz w:val="22"/>
          <w:szCs w:val="22"/>
        </w:rPr>
        <w:t>-</w:t>
      </w:r>
      <w:r w:rsidRPr="00430A9A">
        <w:rPr>
          <w:rFonts w:ascii="Times New Roman" w:hAnsi="Times New Roman" w:cs="Times New Roman"/>
          <w:sz w:val="22"/>
          <w:szCs w:val="22"/>
        </w:rPr>
        <w:t xml:space="preserve"> </w:t>
      </w:r>
      <w:hyperlink r:id="rId7" w:history="1">
        <w:r w:rsidRPr="00430A9A">
          <w:rPr>
            <w:rStyle w:val="Hyperlink"/>
            <w:rFonts w:ascii="Times New Roman" w:hAnsi="Times New Roman" w:cs="Times New Roman"/>
            <w:sz w:val="22"/>
            <w:szCs w:val="22"/>
          </w:rPr>
          <w:t>ttharsi66@gmail.com</w:t>
        </w:r>
      </w:hyperlink>
    </w:p>
    <w:p w14:paraId="4C24723D" w14:textId="77777777" w:rsidR="00430A9A" w:rsidRDefault="00430A9A" w:rsidP="00430A9A">
      <w:pPr>
        <w:spacing w:line="360" w:lineRule="auto"/>
        <w:jc w:val="both"/>
        <w:rPr>
          <w:rFonts w:ascii="Times New Roman" w:hAnsi="Times New Roman" w:cs="Times New Roman"/>
          <w:b/>
          <w:bCs/>
        </w:rPr>
      </w:pPr>
      <w:r w:rsidRPr="003A3575">
        <w:rPr>
          <w:rFonts w:ascii="Times New Roman" w:hAnsi="Times New Roman" w:cs="Times New Roman"/>
          <w:b/>
          <w:bCs/>
        </w:rPr>
        <w:t>Abstract</w:t>
      </w:r>
    </w:p>
    <w:p w14:paraId="2D3F7ABC" w14:textId="77777777" w:rsidR="00430A9A" w:rsidRDefault="00430A9A" w:rsidP="00430A9A">
      <w:pPr>
        <w:spacing w:line="360" w:lineRule="auto"/>
        <w:jc w:val="both"/>
        <w:rPr>
          <w:rFonts w:ascii="Times New Roman" w:hAnsi="Times New Roman" w:cs="Times New Roman"/>
          <w:b/>
          <w:bCs/>
        </w:rPr>
      </w:pPr>
      <w:r>
        <w:rPr>
          <w:rFonts w:ascii="Times New Roman" w:hAnsi="Times New Roman" w:cs="Times New Roman"/>
        </w:rPr>
        <w:t>T</w:t>
      </w:r>
      <w:r w:rsidRPr="00FF3757">
        <w:rPr>
          <w:rFonts w:ascii="Times New Roman" w:hAnsi="Times New Roman" w:cs="Times New Roman"/>
        </w:rPr>
        <w:t xml:space="preserve">he mutualistic relationship between </w:t>
      </w:r>
      <w:r w:rsidRPr="00FF3757">
        <w:rPr>
          <w:rFonts w:ascii="Times New Roman" w:hAnsi="Times New Roman" w:cs="Times New Roman"/>
          <w:i/>
          <w:iCs/>
        </w:rPr>
        <w:t>Macrotermes</w:t>
      </w:r>
      <w:r w:rsidRPr="00FF3757">
        <w:rPr>
          <w:rFonts w:ascii="Times New Roman" w:hAnsi="Times New Roman" w:cs="Times New Roman"/>
        </w:rPr>
        <w:t xml:space="preserve"> termites and their symbiotic fungus </w:t>
      </w:r>
      <w:r w:rsidRPr="00FF3757">
        <w:rPr>
          <w:rFonts w:ascii="Times New Roman" w:hAnsi="Times New Roman" w:cs="Times New Roman"/>
          <w:i/>
          <w:iCs/>
        </w:rPr>
        <w:t>Termitomyces</w:t>
      </w:r>
      <w:r w:rsidRPr="00FF3757">
        <w:rPr>
          <w:rFonts w:ascii="Times New Roman" w:hAnsi="Times New Roman" w:cs="Times New Roman"/>
        </w:rPr>
        <w:t>, with emphasis on mound structure, functional organization, and the potential use of fungal antagonists as eco-friendly biocontrol agents for sustainable termite management.</w:t>
      </w:r>
      <w:r>
        <w:rPr>
          <w:rFonts w:ascii="Times New Roman" w:hAnsi="Times New Roman" w:cs="Times New Roman"/>
        </w:rPr>
        <w:t xml:space="preserve"> </w:t>
      </w:r>
      <w:r w:rsidRPr="00FF3757">
        <w:rPr>
          <w:rFonts w:ascii="Times New Roman" w:hAnsi="Times New Roman" w:cs="Times New Roman"/>
        </w:rPr>
        <w:t xml:space="preserve">Field observations showed that </w:t>
      </w:r>
      <w:r w:rsidRPr="00FF3757">
        <w:rPr>
          <w:rFonts w:ascii="Times New Roman" w:hAnsi="Times New Roman" w:cs="Times New Roman"/>
          <w:i/>
          <w:iCs/>
        </w:rPr>
        <w:t>Macrotermes</w:t>
      </w:r>
      <w:r w:rsidRPr="00FF3757">
        <w:rPr>
          <w:rFonts w:ascii="Times New Roman" w:hAnsi="Times New Roman" w:cs="Times New Roman"/>
        </w:rPr>
        <w:t xml:space="preserve"> mounds were dome-shaped with multiple ventilation holes measuring 3–6 cm in diameter, an average height of 120 cm, and a width of 190 cm. Internal examination revealed well-organized chambers containing fungus combs with a mean fresh weight of 230.47 ± 92 g, a perimeter of 37.5 ± 5 cm, and a volume of 1793.1 ± 926 cm³, indicating advanced eusocial organization and efficient resource allocation. The isolated </w:t>
      </w:r>
      <w:r w:rsidRPr="00FF3757">
        <w:rPr>
          <w:rFonts w:ascii="Times New Roman" w:hAnsi="Times New Roman" w:cs="Times New Roman"/>
          <w:i/>
          <w:iCs/>
        </w:rPr>
        <w:t>Termitomyces</w:t>
      </w:r>
      <w:r w:rsidRPr="00FF3757">
        <w:rPr>
          <w:rFonts w:ascii="Times New Roman" w:hAnsi="Times New Roman" w:cs="Times New Roman"/>
        </w:rPr>
        <w:t xml:space="preserve"> species displayed white, cottony mycelial growth with basidiomycete characteristics, including clamp connections observed microscopically.</w:t>
      </w:r>
      <w:r>
        <w:rPr>
          <w:rFonts w:ascii="Times New Roman" w:hAnsi="Times New Roman" w:cs="Times New Roman"/>
        </w:rPr>
        <w:t xml:space="preserve"> </w:t>
      </w:r>
      <w:r w:rsidRPr="00FF3757">
        <w:rPr>
          <w:rFonts w:ascii="Times New Roman" w:hAnsi="Times New Roman" w:cs="Times New Roman"/>
        </w:rPr>
        <w:t xml:space="preserve">Dual culture assays demonstrated strong antagonistic activity of </w:t>
      </w:r>
      <w:r w:rsidRPr="00FF3757">
        <w:rPr>
          <w:rFonts w:ascii="Times New Roman" w:hAnsi="Times New Roman" w:cs="Times New Roman"/>
          <w:i/>
          <w:iCs/>
        </w:rPr>
        <w:t>T. viride</w:t>
      </w:r>
      <w:r w:rsidRPr="00FF3757">
        <w:rPr>
          <w:rFonts w:ascii="Times New Roman" w:hAnsi="Times New Roman" w:cs="Times New Roman"/>
        </w:rPr>
        <w:t xml:space="preserve"> against </w:t>
      </w:r>
      <w:r w:rsidRPr="00FF3757">
        <w:rPr>
          <w:rFonts w:ascii="Times New Roman" w:hAnsi="Times New Roman" w:cs="Times New Roman"/>
          <w:i/>
          <w:iCs/>
        </w:rPr>
        <w:t>Termitomyces</w:t>
      </w:r>
      <w:r w:rsidRPr="00FF3757">
        <w:rPr>
          <w:rFonts w:ascii="Times New Roman" w:hAnsi="Times New Roman" w:cs="Times New Roman"/>
        </w:rPr>
        <w:t xml:space="preserve">, achieving 83.33% inhibition of radial growth after 14 days. An eco-friendly substrate formulation containing tamarind seed and fenugreek seed supported maximum mycelial growth and sporulation (6.23 ± 0.3 × 10⁶ spores g⁻¹) at an optimal pH range of 5.5–6.5. </w:t>
      </w:r>
      <w:r w:rsidRPr="00FF3757">
        <w:rPr>
          <w:rFonts w:ascii="Times New Roman" w:hAnsi="Times New Roman" w:cs="Times New Roman"/>
          <w:i/>
          <w:iCs/>
        </w:rPr>
        <w:t>T. viride</w:t>
      </w:r>
      <w:r w:rsidRPr="00FF3757">
        <w:rPr>
          <w:rFonts w:ascii="Times New Roman" w:hAnsi="Times New Roman" w:cs="Times New Roman"/>
        </w:rPr>
        <w:t xml:space="preserve"> colonized sterilized termite combs more effectively than wild combs, suggesting that native microbial flora restricted colonization. Laboratory bioassays revealed a significant effect (p &lt; 0.05) of entomopathogenic fungi on termite mortality, with </w:t>
      </w:r>
      <w:r w:rsidRPr="00FF3757">
        <w:rPr>
          <w:rFonts w:ascii="Times New Roman" w:hAnsi="Times New Roman" w:cs="Times New Roman"/>
          <w:i/>
          <w:iCs/>
        </w:rPr>
        <w:t>Paecilomyces cerevisiae</w:t>
      </w:r>
      <w:r w:rsidRPr="00FF3757">
        <w:rPr>
          <w:rFonts w:ascii="Times New Roman" w:hAnsi="Times New Roman" w:cs="Times New Roman"/>
        </w:rPr>
        <w:t xml:space="preserve"> causing the highest mortality (85%), followed by </w:t>
      </w:r>
      <w:r w:rsidRPr="00FF3757">
        <w:rPr>
          <w:rFonts w:ascii="Times New Roman" w:hAnsi="Times New Roman" w:cs="Times New Roman"/>
          <w:i/>
          <w:iCs/>
        </w:rPr>
        <w:t>Metarhizium anisopliae</w:t>
      </w:r>
      <w:r w:rsidRPr="00FF3757">
        <w:rPr>
          <w:rFonts w:ascii="Times New Roman" w:hAnsi="Times New Roman" w:cs="Times New Roman"/>
        </w:rPr>
        <w:t xml:space="preserve"> (75%) and </w:t>
      </w:r>
      <w:r w:rsidRPr="00FF3757">
        <w:rPr>
          <w:rFonts w:ascii="Times New Roman" w:hAnsi="Times New Roman" w:cs="Times New Roman"/>
          <w:i/>
          <w:iCs/>
        </w:rPr>
        <w:t>Beauveria bassiana</w:t>
      </w:r>
      <w:r w:rsidRPr="00FF3757">
        <w:rPr>
          <w:rFonts w:ascii="Times New Roman" w:hAnsi="Times New Roman" w:cs="Times New Roman"/>
        </w:rPr>
        <w:t xml:space="preserve"> (49.3%). Overall, the findings support the use of fungal-based biocontrol agents in environmentally sustainable Integrated Pest Management strategies.</w:t>
      </w:r>
    </w:p>
    <w:p w14:paraId="625A381F" w14:textId="77777777" w:rsidR="00430A9A" w:rsidRDefault="00430A9A" w:rsidP="00430A9A">
      <w:pPr>
        <w:spacing w:line="360" w:lineRule="auto"/>
        <w:jc w:val="both"/>
        <w:rPr>
          <w:rFonts w:ascii="Times New Roman" w:hAnsi="Times New Roman" w:cs="Times New Roman"/>
          <w:b/>
          <w:bCs/>
        </w:rPr>
      </w:pPr>
    </w:p>
    <w:p w14:paraId="75289D89" w14:textId="638D5012" w:rsidR="00430A9A" w:rsidRDefault="00430A9A" w:rsidP="00430A9A">
      <w:pPr>
        <w:spacing w:line="360" w:lineRule="auto"/>
        <w:jc w:val="both"/>
        <w:rPr>
          <w:rFonts w:ascii="Times New Roman" w:hAnsi="Times New Roman" w:cs="Times New Roman"/>
          <w:i/>
          <w:iCs/>
        </w:rPr>
      </w:pPr>
      <w:r w:rsidRPr="003A3575">
        <w:rPr>
          <w:rFonts w:ascii="Times New Roman" w:hAnsi="Times New Roman" w:cs="Times New Roman"/>
          <w:b/>
          <w:bCs/>
        </w:rPr>
        <w:t>K</w:t>
      </w:r>
      <w:r w:rsidR="00BD72DD">
        <w:rPr>
          <w:rFonts w:ascii="Times New Roman" w:hAnsi="Times New Roman" w:cs="Times New Roman"/>
          <w:b/>
          <w:bCs/>
        </w:rPr>
        <w:t>ey</w:t>
      </w:r>
      <w:r w:rsidRPr="003A3575">
        <w:rPr>
          <w:rFonts w:ascii="Times New Roman" w:hAnsi="Times New Roman" w:cs="Times New Roman"/>
          <w:b/>
          <w:bCs/>
        </w:rPr>
        <w:t xml:space="preserve"> words:</w:t>
      </w:r>
      <w:r>
        <w:rPr>
          <w:rFonts w:ascii="Times New Roman" w:hAnsi="Times New Roman" w:cs="Times New Roman"/>
        </w:rPr>
        <w:t xml:space="preserve"> Entomopathogenic fungi, </w:t>
      </w:r>
      <w:r w:rsidRPr="003A3575">
        <w:rPr>
          <w:rFonts w:ascii="Times New Roman" w:hAnsi="Times New Roman" w:cs="Times New Roman"/>
          <w:i/>
          <w:iCs/>
        </w:rPr>
        <w:t>Macrotermes</w:t>
      </w:r>
      <w:r>
        <w:rPr>
          <w:rFonts w:ascii="Times New Roman" w:hAnsi="Times New Roman" w:cs="Times New Roman"/>
        </w:rPr>
        <w:t xml:space="preserve">, Termites, </w:t>
      </w:r>
      <w:r w:rsidRPr="003A3575">
        <w:rPr>
          <w:rFonts w:ascii="Times New Roman" w:hAnsi="Times New Roman" w:cs="Times New Roman"/>
          <w:i/>
          <w:iCs/>
        </w:rPr>
        <w:t>Termitomyces</w:t>
      </w:r>
      <w:r>
        <w:rPr>
          <w:rFonts w:ascii="Times New Roman" w:hAnsi="Times New Roman" w:cs="Times New Roman"/>
        </w:rPr>
        <w:t xml:space="preserve">, </w:t>
      </w:r>
      <w:r w:rsidRPr="003A3575">
        <w:rPr>
          <w:rFonts w:ascii="Times New Roman" w:hAnsi="Times New Roman" w:cs="Times New Roman"/>
          <w:i/>
          <w:iCs/>
        </w:rPr>
        <w:t>Trichoderma viride</w:t>
      </w:r>
    </w:p>
    <w:p w14:paraId="6BDAFE03" w14:textId="77777777" w:rsidR="00346C90" w:rsidRDefault="00346C90" w:rsidP="00430A9A">
      <w:pPr>
        <w:spacing w:line="360" w:lineRule="auto"/>
        <w:jc w:val="both"/>
        <w:rPr>
          <w:rFonts w:ascii="Times New Roman" w:hAnsi="Times New Roman" w:cs="Times New Roman"/>
          <w:i/>
          <w:iCs/>
        </w:rPr>
      </w:pPr>
    </w:p>
    <w:p w14:paraId="487692C1" w14:textId="7C35C5DF" w:rsidR="00346C90" w:rsidRPr="00D02B11" w:rsidRDefault="00346C90" w:rsidP="00346C90">
      <w:pPr>
        <w:spacing w:line="360" w:lineRule="auto"/>
        <w:jc w:val="both"/>
        <w:rPr>
          <w:rFonts w:ascii="Times New Roman" w:hAnsi="Times New Roman" w:cs="Times New Roman"/>
          <w:b/>
          <w:bCs/>
          <w:sz w:val="28"/>
          <w:szCs w:val="28"/>
        </w:rPr>
      </w:pPr>
      <w:r w:rsidRPr="00D02B11">
        <w:rPr>
          <w:rFonts w:ascii="Times New Roman" w:hAnsi="Times New Roman" w:cs="Times New Roman"/>
          <w:b/>
          <w:bCs/>
          <w:sz w:val="28"/>
          <w:szCs w:val="28"/>
        </w:rPr>
        <w:lastRenderedPageBreak/>
        <w:t>Introduction</w:t>
      </w:r>
    </w:p>
    <w:p w14:paraId="7E1BE8AE" w14:textId="77777777" w:rsidR="00346C90" w:rsidRPr="00346C90" w:rsidRDefault="00346C90" w:rsidP="00346C90">
      <w:pPr>
        <w:spacing w:line="360" w:lineRule="auto"/>
        <w:jc w:val="both"/>
        <w:rPr>
          <w:rFonts w:ascii="Times New Roman" w:hAnsi="Times New Roman" w:cs="Times New Roman"/>
        </w:rPr>
      </w:pPr>
      <w:r w:rsidRPr="00346C90">
        <w:rPr>
          <w:rFonts w:ascii="Times New Roman" w:hAnsi="Times New Roman" w:cs="Times New Roman"/>
        </w:rPr>
        <w:t xml:space="preserve">Among the most ecologically significant soil insects in tropical ecosystems are termites of the genus </w:t>
      </w:r>
      <w:r w:rsidRPr="00346C90">
        <w:rPr>
          <w:rFonts w:ascii="Times New Roman" w:hAnsi="Times New Roman" w:cs="Times New Roman"/>
          <w:i/>
          <w:iCs/>
        </w:rPr>
        <w:t>Macrotermes</w:t>
      </w:r>
      <w:r w:rsidRPr="00346C90">
        <w:rPr>
          <w:rFonts w:ascii="Times New Roman" w:hAnsi="Times New Roman" w:cs="Times New Roman"/>
        </w:rPr>
        <w:t xml:space="preserve">. These termites exhibit a highly evolved eusocial organization composed of reproductive, worker, and soldier castes that coordinate complex behaviors such as nest construction, foraging, and fungal cultivation (Ocko et al., 2019). One of the most distinctive features of </w:t>
      </w:r>
      <w:r w:rsidRPr="00346C90">
        <w:rPr>
          <w:rFonts w:ascii="Times New Roman" w:hAnsi="Times New Roman" w:cs="Times New Roman"/>
          <w:i/>
          <w:iCs/>
        </w:rPr>
        <w:t>Macrotermes</w:t>
      </w:r>
      <w:r w:rsidRPr="00346C90">
        <w:rPr>
          <w:rFonts w:ascii="Times New Roman" w:hAnsi="Times New Roman" w:cs="Times New Roman"/>
        </w:rPr>
        <w:t xml:space="preserve"> is the construction of massive earthen mounds, often exceeding two meters in height. These mounds function as biogenic structures that regulate temperature, humidity, and gas exchange, thereby creating optimal conditions for the growth of their obligate symbiotic fungus, </w:t>
      </w:r>
      <w:r w:rsidRPr="00346C90">
        <w:rPr>
          <w:rFonts w:ascii="Times New Roman" w:hAnsi="Times New Roman" w:cs="Times New Roman"/>
          <w:i/>
          <w:iCs/>
        </w:rPr>
        <w:t>Termitomyces</w:t>
      </w:r>
      <w:r w:rsidRPr="00346C90">
        <w:rPr>
          <w:rFonts w:ascii="Times New Roman" w:hAnsi="Times New Roman" w:cs="Times New Roman"/>
        </w:rPr>
        <w:t xml:space="preserve">. Cultivated within specialized internal combs, </w:t>
      </w:r>
      <w:r w:rsidRPr="00346C90">
        <w:rPr>
          <w:rFonts w:ascii="Times New Roman" w:hAnsi="Times New Roman" w:cs="Times New Roman"/>
          <w:i/>
          <w:iCs/>
        </w:rPr>
        <w:t>Termitomyces</w:t>
      </w:r>
      <w:r w:rsidRPr="00346C90">
        <w:rPr>
          <w:rFonts w:ascii="Times New Roman" w:hAnsi="Times New Roman" w:cs="Times New Roman"/>
        </w:rPr>
        <w:t xml:space="preserve"> plays a crucial role in degrading lignocellulosic plant material and providing essential nutrients required for colony survival and growth (Zachariah et al., 2020).</w:t>
      </w:r>
    </w:p>
    <w:p w14:paraId="0FBA46F6" w14:textId="77777777" w:rsidR="00346C90" w:rsidRPr="00346C90" w:rsidRDefault="00346C90" w:rsidP="00346C90">
      <w:pPr>
        <w:spacing w:line="360" w:lineRule="auto"/>
        <w:jc w:val="both"/>
        <w:rPr>
          <w:rFonts w:ascii="Times New Roman" w:hAnsi="Times New Roman" w:cs="Times New Roman"/>
        </w:rPr>
      </w:pPr>
      <w:r w:rsidRPr="00346C90">
        <w:rPr>
          <w:rFonts w:ascii="Times New Roman" w:hAnsi="Times New Roman" w:cs="Times New Roman"/>
        </w:rPr>
        <w:t xml:space="preserve">Despite their ecological importance in soil aeration, nutrient cycling, and fertility enhancement, </w:t>
      </w:r>
      <w:r w:rsidRPr="00346C90">
        <w:rPr>
          <w:rFonts w:ascii="Times New Roman" w:hAnsi="Times New Roman" w:cs="Times New Roman"/>
          <w:i/>
          <w:iCs/>
        </w:rPr>
        <w:t>Macrotermes</w:t>
      </w:r>
      <w:r w:rsidRPr="00346C90">
        <w:rPr>
          <w:rFonts w:ascii="Times New Roman" w:hAnsi="Times New Roman" w:cs="Times New Roman"/>
        </w:rPr>
        <w:t xml:space="preserve"> species are also recognized as major agricultural and structural pests. They attack root systems and wooden structures of economically important crops such as tea, maize, and sugarcane, resulting in substantial yield losses and economic damage worldwide (Rana et al., 2021). Consequently, sustainable termite management has become a critical concern, particularly in tropical regions where prolonged reliance on chemical control has caused soil contamination, non-target organism toxicity, and the development of pest resistance (Awasthi et al., 2024).</w:t>
      </w:r>
    </w:p>
    <w:p w14:paraId="20691FB7" w14:textId="77777777" w:rsidR="00346C90" w:rsidRPr="00346C90" w:rsidRDefault="00346C90" w:rsidP="00346C90">
      <w:pPr>
        <w:spacing w:line="360" w:lineRule="auto"/>
        <w:jc w:val="both"/>
        <w:rPr>
          <w:rFonts w:ascii="Times New Roman" w:hAnsi="Times New Roman" w:cs="Times New Roman"/>
        </w:rPr>
      </w:pPr>
      <w:r w:rsidRPr="00346C90">
        <w:rPr>
          <w:rFonts w:ascii="Times New Roman" w:hAnsi="Times New Roman" w:cs="Times New Roman"/>
        </w:rPr>
        <w:t xml:space="preserve">Recent research has increasingly focused on environmentally benign biological control strategies that exploit antagonistic interactions within the termite–fungus symbiotic system. Mycopathogenic fungi such as </w:t>
      </w:r>
      <w:r w:rsidRPr="00346C90">
        <w:rPr>
          <w:rFonts w:ascii="Times New Roman" w:hAnsi="Times New Roman" w:cs="Times New Roman"/>
          <w:i/>
          <w:iCs/>
        </w:rPr>
        <w:t>Trichoderma viride</w:t>
      </w:r>
      <w:r w:rsidRPr="00346C90">
        <w:rPr>
          <w:rFonts w:ascii="Times New Roman" w:hAnsi="Times New Roman" w:cs="Times New Roman"/>
        </w:rPr>
        <w:t xml:space="preserve">, known for their biocontrol mechanisms including nutrient competition, enzyme secretion, and antibiosis, have demonstrated antagonistic effects against </w:t>
      </w:r>
      <w:r w:rsidRPr="00346C90">
        <w:rPr>
          <w:rFonts w:ascii="Times New Roman" w:hAnsi="Times New Roman" w:cs="Times New Roman"/>
          <w:i/>
          <w:iCs/>
        </w:rPr>
        <w:t>Termitomyces</w:t>
      </w:r>
      <w:r w:rsidRPr="00346C90">
        <w:rPr>
          <w:rFonts w:ascii="Times New Roman" w:hAnsi="Times New Roman" w:cs="Times New Roman"/>
        </w:rPr>
        <w:t xml:space="preserve">. Dual culture studies have shown that </w:t>
      </w:r>
      <w:r w:rsidRPr="00346C90">
        <w:rPr>
          <w:rFonts w:ascii="Times New Roman" w:hAnsi="Times New Roman" w:cs="Times New Roman"/>
          <w:i/>
          <w:iCs/>
        </w:rPr>
        <w:t>T. viride</w:t>
      </w:r>
      <w:r w:rsidRPr="00346C90">
        <w:rPr>
          <w:rFonts w:ascii="Times New Roman" w:hAnsi="Times New Roman" w:cs="Times New Roman"/>
        </w:rPr>
        <w:t xml:space="preserve"> can significantly inhibit the radial growth of </w:t>
      </w:r>
      <w:r w:rsidRPr="00346C90">
        <w:rPr>
          <w:rFonts w:ascii="Times New Roman" w:hAnsi="Times New Roman" w:cs="Times New Roman"/>
          <w:i/>
          <w:iCs/>
        </w:rPr>
        <w:t>Termitomyces</w:t>
      </w:r>
      <w:r w:rsidRPr="00346C90">
        <w:rPr>
          <w:rFonts w:ascii="Times New Roman" w:hAnsi="Times New Roman" w:cs="Times New Roman"/>
        </w:rPr>
        <w:t xml:space="preserve">, potentially disrupting the termite–fungus mutualism (Xiong et al., 2019). In addition, entomopathogenic fungi such as </w:t>
      </w:r>
      <w:r w:rsidRPr="00346C90">
        <w:rPr>
          <w:rFonts w:ascii="Times New Roman" w:hAnsi="Times New Roman" w:cs="Times New Roman"/>
          <w:i/>
          <w:iCs/>
        </w:rPr>
        <w:t>Beauveria bassiana</w:t>
      </w:r>
      <w:r w:rsidRPr="00346C90">
        <w:rPr>
          <w:rFonts w:ascii="Times New Roman" w:hAnsi="Times New Roman" w:cs="Times New Roman"/>
        </w:rPr>
        <w:t xml:space="preserve">, </w:t>
      </w:r>
      <w:r w:rsidRPr="00346C90">
        <w:rPr>
          <w:rFonts w:ascii="Times New Roman" w:hAnsi="Times New Roman" w:cs="Times New Roman"/>
          <w:i/>
          <w:iCs/>
        </w:rPr>
        <w:t>Metarhizium anisopliae</w:t>
      </w:r>
      <w:r w:rsidRPr="00346C90">
        <w:rPr>
          <w:rFonts w:ascii="Times New Roman" w:hAnsi="Times New Roman" w:cs="Times New Roman"/>
        </w:rPr>
        <w:t xml:space="preserve">, and </w:t>
      </w:r>
      <w:r w:rsidRPr="00346C90">
        <w:rPr>
          <w:rFonts w:ascii="Times New Roman" w:hAnsi="Times New Roman" w:cs="Times New Roman"/>
          <w:i/>
          <w:iCs/>
        </w:rPr>
        <w:t>Paecilomyces cerevisiae</w:t>
      </w:r>
      <w:r w:rsidRPr="00346C90">
        <w:rPr>
          <w:rFonts w:ascii="Times New Roman" w:hAnsi="Times New Roman" w:cs="Times New Roman"/>
        </w:rPr>
        <w:t xml:space="preserve"> have been reported to infect termite workers by penetrating the cuticle and proliferating within the host, ultimately causing mortality (Subekti et al., 2024).</w:t>
      </w:r>
    </w:p>
    <w:p w14:paraId="7BF27A7B" w14:textId="77777777" w:rsidR="00346C90" w:rsidRDefault="00346C90" w:rsidP="00346C90">
      <w:pPr>
        <w:spacing w:line="360" w:lineRule="auto"/>
        <w:jc w:val="both"/>
        <w:rPr>
          <w:rFonts w:ascii="Times New Roman" w:hAnsi="Times New Roman" w:cs="Times New Roman"/>
        </w:rPr>
      </w:pPr>
      <w:r w:rsidRPr="00346C90">
        <w:rPr>
          <w:rFonts w:ascii="Times New Roman" w:hAnsi="Times New Roman" w:cs="Times New Roman"/>
        </w:rPr>
        <w:t xml:space="preserve">Therefore, this study aims to investigate the eusocial organization of </w:t>
      </w:r>
      <w:r w:rsidRPr="00346C90">
        <w:rPr>
          <w:rFonts w:ascii="Times New Roman" w:hAnsi="Times New Roman" w:cs="Times New Roman"/>
          <w:i/>
          <w:iCs/>
        </w:rPr>
        <w:t>Macrotermes</w:t>
      </w:r>
      <w:r w:rsidRPr="00346C90">
        <w:rPr>
          <w:rFonts w:ascii="Times New Roman" w:hAnsi="Times New Roman" w:cs="Times New Roman"/>
        </w:rPr>
        <w:t xml:space="preserve"> and evaluate the biopotential of fungal antagonists targeting both termites and </w:t>
      </w:r>
      <w:r w:rsidRPr="00346C90">
        <w:rPr>
          <w:rFonts w:ascii="Times New Roman" w:hAnsi="Times New Roman" w:cs="Times New Roman"/>
          <w:i/>
          <w:iCs/>
        </w:rPr>
        <w:t>Termitomyces</w:t>
      </w:r>
      <w:r w:rsidRPr="00346C90">
        <w:rPr>
          <w:rFonts w:ascii="Times New Roman" w:hAnsi="Times New Roman" w:cs="Times New Roman"/>
        </w:rPr>
        <w:t xml:space="preserve">. Through mound and comb morphology assessment, dual culture assays, spore ball production, and bioassays with </w:t>
      </w:r>
      <w:r w:rsidRPr="00346C90">
        <w:rPr>
          <w:rFonts w:ascii="Times New Roman" w:hAnsi="Times New Roman" w:cs="Times New Roman"/>
        </w:rPr>
        <w:lastRenderedPageBreak/>
        <w:t>entomopathogenic fungi, the research seeks to develop sustainable alternatives to chemical pesticides for effective termite management.</w:t>
      </w:r>
    </w:p>
    <w:p w14:paraId="4910A87A" w14:textId="298E0951" w:rsidR="001336E4" w:rsidRPr="00AA119B" w:rsidRDefault="001336E4" w:rsidP="00346C90">
      <w:pPr>
        <w:spacing w:line="360" w:lineRule="auto"/>
        <w:jc w:val="both"/>
        <w:rPr>
          <w:rFonts w:ascii="Times New Roman" w:hAnsi="Times New Roman" w:cs="Times New Roman"/>
          <w:b/>
          <w:bCs/>
        </w:rPr>
      </w:pPr>
      <w:r w:rsidRPr="00AA119B">
        <w:rPr>
          <w:rFonts w:ascii="Times New Roman" w:hAnsi="Times New Roman" w:cs="Times New Roman"/>
          <w:b/>
          <w:bCs/>
        </w:rPr>
        <w:t>Materials and Methodology</w:t>
      </w:r>
    </w:p>
    <w:p w14:paraId="560CA27D" w14:textId="77777777" w:rsidR="001336E4" w:rsidRPr="001336E4" w:rsidRDefault="001336E4" w:rsidP="001336E4">
      <w:pPr>
        <w:spacing w:line="360" w:lineRule="auto"/>
        <w:jc w:val="both"/>
        <w:rPr>
          <w:rFonts w:ascii="Times New Roman" w:hAnsi="Times New Roman" w:cs="Times New Roman"/>
        </w:rPr>
      </w:pPr>
      <w:r w:rsidRPr="001336E4">
        <w:rPr>
          <w:rFonts w:ascii="Times New Roman" w:hAnsi="Times New Roman" w:cs="Times New Roman"/>
        </w:rPr>
        <w:t xml:space="preserve">The study was conducted to investigate the mound architecture, fungal symbiosis, and biocontrol potential of fungal antagonists associated with </w:t>
      </w:r>
      <w:r w:rsidRPr="001336E4">
        <w:rPr>
          <w:rFonts w:ascii="Times New Roman" w:hAnsi="Times New Roman" w:cs="Times New Roman"/>
          <w:i/>
          <w:iCs/>
        </w:rPr>
        <w:t>Macrotermes</w:t>
      </w:r>
      <w:r w:rsidRPr="001336E4">
        <w:rPr>
          <w:rFonts w:ascii="Times New Roman" w:hAnsi="Times New Roman" w:cs="Times New Roman"/>
        </w:rPr>
        <w:t xml:space="preserve"> termites. Termite mounds were identified between Killinochchi and Jaffna, Sri Lanka, and a representative mound located at Ambal Nagar, Killinochchi District, was selected for detailed investigation. External mound morphology, including height, basal and intermediate diameters, and surface openings, was measured using standard measuring tools. The position and diameter of external openings were recorded to assess ventilation and foraging structures.</w:t>
      </w:r>
    </w:p>
    <w:p w14:paraId="3DC28A39" w14:textId="77777777" w:rsidR="001336E4" w:rsidRPr="001336E4" w:rsidRDefault="001336E4" w:rsidP="001336E4">
      <w:pPr>
        <w:spacing w:line="360" w:lineRule="auto"/>
        <w:jc w:val="both"/>
        <w:rPr>
          <w:rFonts w:ascii="Times New Roman" w:hAnsi="Times New Roman" w:cs="Times New Roman"/>
        </w:rPr>
      </w:pPr>
      <w:r w:rsidRPr="001336E4">
        <w:rPr>
          <w:rFonts w:ascii="Times New Roman" w:hAnsi="Times New Roman" w:cs="Times New Roman"/>
        </w:rPr>
        <w:t>The mound was dissected vertically using a hand saw to examine internal architecture. Layer-wise observations were made on tunnel networks and fungus comb chambers. Fungus combs were collected carefully, transported to the laboratory, and measured for fresh weight, height, width, and perimeter. Termites at different developmental stages were collected and morphologically examined under a stereo microscope.</w:t>
      </w:r>
    </w:p>
    <w:p w14:paraId="6B3D8D5D" w14:textId="77777777" w:rsidR="001336E4" w:rsidRPr="001336E4" w:rsidRDefault="001336E4" w:rsidP="001336E4">
      <w:pPr>
        <w:spacing w:line="360" w:lineRule="auto"/>
        <w:jc w:val="both"/>
        <w:rPr>
          <w:rFonts w:ascii="Times New Roman" w:hAnsi="Times New Roman" w:cs="Times New Roman"/>
        </w:rPr>
      </w:pPr>
      <w:r w:rsidRPr="001336E4">
        <w:rPr>
          <w:rFonts w:ascii="Times New Roman" w:hAnsi="Times New Roman" w:cs="Times New Roman"/>
          <w:i/>
          <w:iCs/>
        </w:rPr>
        <w:t>Termitomyces</w:t>
      </w:r>
      <w:r w:rsidRPr="001336E4">
        <w:rPr>
          <w:rFonts w:ascii="Times New Roman" w:hAnsi="Times New Roman" w:cs="Times New Roman"/>
        </w:rPr>
        <w:t xml:space="preserve"> was isolated from fungal nodules and comb material using surface sterilization and culturing on Potato Dextrose Agar (PDA). Pure cultures were obtained through repeated subculturing and identified morphologically using the hanging drop technique. A laboratory-maintained culture of </w:t>
      </w:r>
      <w:r w:rsidRPr="001336E4">
        <w:rPr>
          <w:rFonts w:ascii="Times New Roman" w:hAnsi="Times New Roman" w:cs="Times New Roman"/>
          <w:i/>
          <w:iCs/>
        </w:rPr>
        <w:t>Trichoderma viride</w:t>
      </w:r>
      <w:r w:rsidRPr="001336E4">
        <w:rPr>
          <w:rFonts w:ascii="Times New Roman" w:hAnsi="Times New Roman" w:cs="Times New Roman"/>
        </w:rPr>
        <w:t xml:space="preserve"> was used as an antagonist. Dual culture assays were performed on PDA to evaluate antagonistic interactions, and percent inhibition of radial growth (PIRG) of </w:t>
      </w:r>
      <w:r w:rsidRPr="001336E4">
        <w:rPr>
          <w:rFonts w:ascii="Times New Roman" w:hAnsi="Times New Roman" w:cs="Times New Roman"/>
          <w:i/>
          <w:iCs/>
        </w:rPr>
        <w:t>Termitomyces</w:t>
      </w:r>
      <w:r w:rsidRPr="001336E4">
        <w:rPr>
          <w:rFonts w:ascii="Times New Roman" w:hAnsi="Times New Roman" w:cs="Times New Roman"/>
        </w:rPr>
        <w:t xml:space="preserve"> was calculated at different intervals.</w:t>
      </w:r>
    </w:p>
    <w:p w14:paraId="33650EC3" w14:textId="77777777" w:rsidR="001336E4" w:rsidRPr="001336E4" w:rsidRDefault="001336E4" w:rsidP="001336E4">
      <w:pPr>
        <w:spacing w:line="360" w:lineRule="auto"/>
        <w:jc w:val="both"/>
        <w:rPr>
          <w:rFonts w:ascii="Times New Roman" w:hAnsi="Times New Roman" w:cs="Times New Roman"/>
        </w:rPr>
      </w:pPr>
      <w:r w:rsidRPr="001336E4">
        <w:rPr>
          <w:rFonts w:ascii="Times New Roman" w:hAnsi="Times New Roman" w:cs="Times New Roman"/>
        </w:rPr>
        <w:t xml:space="preserve">For spore ball production, locally available organic substrates were prepared, shaped into balls, sterilized, and inoculated with </w:t>
      </w:r>
      <w:r w:rsidRPr="001336E4">
        <w:rPr>
          <w:rFonts w:ascii="Times New Roman" w:hAnsi="Times New Roman" w:cs="Times New Roman"/>
          <w:i/>
          <w:iCs/>
        </w:rPr>
        <w:t>T. viride</w:t>
      </w:r>
      <w:r w:rsidRPr="001336E4">
        <w:rPr>
          <w:rFonts w:ascii="Times New Roman" w:hAnsi="Times New Roman" w:cs="Times New Roman"/>
        </w:rPr>
        <w:t xml:space="preserve"> spore suspensions. Substrate pH was determined prior to inoculation. Growth and sporulation of </w:t>
      </w:r>
      <w:r w:rsidRPr="001336E4">
        <w:rPr>
          <w:rFonts w:ascii="Times New Roman" w:hAnsi="Times New Roman" w:cs="Times New Roman"/>
          <w:i/>
          <w:iCs/>
        </w:rPr>
        <w:t>T. viride</w:t>
      </w:r>
      <w:r w:rsidRPr="001336E4">
        <w:rPr>
          <w:rFonts w:ascii="Times New Roman" w:hAnsi="Times New Roman" w:cs="Times New Roman"/>
        </w:rPr>
        <w:t xml:space="preserve"> on substrate balls were evaluated by spore counting using a haemocytometer. The ability of </w:t>
      </w:r>
      <w:r w:rsidRPr="001336E4">
        <w:rPr>
          <w:rFonts w:ascii="Times New Roman" w:hAnsi="Times New Roman" w:cs="Times New Roman"/>
          <w:i/>
          <w:iCs/>
        </w:rPr>
        <w:t>T. viride</w:t>
      </w:r>
      <w:r w:rsidRPr="001336E4">
        <w:rPr>
          <w:rFonts w:ascii="Times New Roman" w:hAnsi="Times New Roman" w:cs="Times New Roman"/>
        </w:rPr>
        <w:t xml:space="preserve"> to colonize termite combs was assessed under both natural (unsterilized) and sterilized conditions using different spore concentrations.</w:t>
      </w:r>
    </w:p>
    <w:p w14:paraId="46F430EC" w14:textId="77777777" w:rsidR="001336E4" w:rsidRDefault="001336E4" w:rsidP="001336E4">
      <w:pPr>
        <w:spacing w:line="360" w:lineRule="auto"/>
        <w:jc w:val="both"/>
        <w:rPr>
          <w:rFonts w:ascii="Times New Roman" w:hAnsi="Times New Roman" w:cs="Times New Roman"/>
        </w:rPr>
      </w:pPr>
      <w:r w:rsidRPr="001336E4">
        <w:rPr>
          <w:rFonts w:ascii="Times New Roman" w:hAnsi="Times New Roman" w:cs="Times New Roman"/>
        </w:rPr>
        <w:t>Entomopathogenic fungi (</w:t>
      </w:r>
      <w:r w:rsidRPr="001336E4">
        <w:rPr>
          <w:rFonts w:ascii="Times New Roman" w:hAnsi="Times New Roman" w:cs="Times New Roman"/>
          <w:i/>
          <w:iCs/>
        </w:rPr>
        <w:t>Beauveria bassiana</w:t>
      </w:r>
      <w:r w:rsidRPr="001336E4">
        <w:rPr>
          <w:rFonts w:ascii="Times New Roman" w:hAnsi="Times New Roman" w:cs="Times New Roman"/>
        </w:rPr>
        <w:t xml:space="preserve">, </w:t>
      </w:r>
      <w:r w:rsidRPr="001336E4">
        <w:rPr>
          <w:rFonts w:ascii="Times New Roman" w:hAnsi="Times New Roman" w:cs="Times New Roman"/>
          <w:i/>
          <w:iCs/>
        </w:rPr>
        <w:t>Metarhizium anisopliae</w:t>
      </w:r>
      <w:r w:rsidRPr="001336E4">
        <w:rPr>
          <w:rFonts w:ascii="Times New Roman" w:hAnsi="Times New Roman" w:cs="Times New Roman"/>
        </w:rPr>
        <w:t xml:space="preserve">, and </w:t>
      </w:r>
      <w:r w:rsidRPr="001336E4">
        <w:rPr>
          <w:rFonts w:ascii="Times New Roman" w:hAnsi="Times New Roman" w:cs="Times New Roman"/>
          <w:i/>
          <w:iCs/>
        </w:rPr>
        <w:t>Paecilomyces cerevisiae</w:t>
      </w:r>
      <w:r w:rsidRPr="001336E4">
        <w:rPr>
          <w:rFonts w:ascii="Times New Roman" w:hAnsi="Times New Roman" w:cs="Times New Roman"/>
        </w:rPr>
        <w:t xml:space="preserve">) were applied to termite workers under laboratory conditions to evaluate mortality. Treated termites were maintained in high-humidity chambers, and mortality was recorded on the </w:t>
      </w:r>
      <w:r w:rsidRPr="001336E4">
        <w:rPr>
          <w:rFonts w:ascii="Times New Roman" w:hAnsi="Times New Roman" w:cs="Times New Roman"/>
        </w:rPr>
        <w:lastRenderedPageBreak/>
        <w:t>third day. All experiments were conducted in a completely randomized design, and data were analyzed statistically using SAS software with Duncan’s Multiple Range Test at a 95% confidence level.</w:t>
      </w:r>
    </w:p>
    <w:p w14:paraId="5BE8E7A0" w14:textId="7D91ADDA" w:rsidR="001336E4" w:rsidRPr="001336E4" w:rsidRDefault="001336E4" w:rsidP="001336E4">
      <w:pPr>
        <w:spacing w:line="360" w:lineRule="auto"/>
        <w:jc w:val="both"/>
        <w:rPr>
          <w:rFonts w:ascii="Times New Roman" w:hAnsi="Times New Roman" w:cs="Times New Roman"/>
          <w:b/>
          <w:bCs/>
        </w:rPr>
      </w:pPr>
      <w:r w:rsidRPr="00AA119B">
        <w:rPr>
          <w:rFonts w:ascii="Times New Roman" w:hAnsi="Times New Roman" w:cs="Times New Roman"/>
          <w:b/>
          <w:bCs/>
        </w:rPr>
        <w:t>Results and Discussion</w:t>
      </w:r>
    </w:p>
    <w:p w14:paraId="213CEE47" w14:textId="77777777" w:rsidR="001336E4" w:rsidRPr="001336E4" w:rsidRDefault="001336E4" w:rsidP="001336E4">
      <w:pPr>
        <w:spacing w:line="360" w:lineRule="auto"/>
        <w:jc w:val="both"/>
        <w:rPr>
          <w:rFonts w:ascii="Times New Roman" w:hAnsi="Times New Roman" w:cs="Times New Roman"/>
        </w:rPr>
      </w:pPr>
      <w:r w:rsidRPr="001336E4">
        <w:rPr>
          <w:rFonts w:ascii="Times New Roman" w:hAnsi="Times New Roman" w:cs="Times New Roman"/>
        </w:rPr>
        <w:t xml:space="preserve">Field surveys conducted in the Kilinochchi and Jaffna districts of Northern Sri Lanka revealed the presence of fungus-growing termites belonging mainly to the genera </w:t>
      </w:r>
      <w:r w:rsidRPr="001336E4">
        <w:rPr>
          <w:rFonts w:ascii="Times New Roman" w:hAnsi="Times New Roman" w:cs="Times New Roman"/>
          <w:i/>
          <w:iCs/>
        </w:rPr>
        <w:t>Macrotermes</w:t>
      </w:r>
      <w:r w:rsidRPr="001336E4">
        <w:rPr>
          <w:rFonts w:ascii="Times New Roman" w:hAnsi="Times New Roman" w:cs="Times New Roman"/>
        </w:rPr>
        <w:t xml:space="preserve"> and </w:t>
      </w:r>
      <w:r w:rsidRPr="001336E4">
        <w:rPr>
          <w:rFonts w:ascii="Times New Roman" w:hAnsi="Times New Roman" w:cs="Times New Roman"/>
          <w:i/>
          <w:iCs/>
        </w:rPr>
        <w:t>Odontotermes</w:t>
      </w:r>
      <w:r w:rsidRPr="001336E4">
        <w:rPr>
          <w:rFonts w:ascii="Times New Roman" w:hAnsi="Times New Roman" w:cs="Times New Roman"/>
        </w:rPr>
        <w:t xml:space="preserve">. Distinct morphological differences were observed between the mound types. </w:t>
      </w:r>
      <w:r w:rsidRPr="001336E4">
        <w:rPr>
          <w:rFonts w:ascii="Times New Roman" w:hAnsi="Times New Roman" w:cs="Times New Roman"/>
          <w:i/>
          <w:iCs/>
        </w:rPr>
        <w:t>Macrotermes</w:t>
      </w:r>
      <w:r w:rsidRPr="001336E4">
        <w:rPr>
          <w:rFonts w:ascii="Times New Roman" w:hAnsi="Times New Roman" w:cs="Times New Roman"/>
        </w:rPr>
        <w:t xml:space="preserve"> mounds were large, dome-shaped, compact, and well-ventilated, indicating long-term colony establishment and high worker activity, whereas </w:t>
      </w:r>
      <w:r w:rsidRPr="001336E4">
        <w:rPr>
          <w:rFonts w:ascii="Times New Roman" w:hAnsi="Times New Roman" w:cs="Times New Roman"/>
          <w:i/>
          <w:iCs/>
        </w:rPr>
        <w:t>Odontotermes</w:t>
      </w:r>
      <w:r w:rsidRPr="001336E4">
        <w:rPr>
          <w:rFonts w:ascii="Times New Roman" w:hAnsi="Times New Roman" w:cs="Times New Roman"/>
        </w:rPr>
        <w:t xml:space="preserve"> mounds were smaller, irregular, and loosely compacted with numerous surface openings. These differences reflect species-specific adaptive strategies under arid-zone conditions.</w:t>
      </w:r>
    </w:p>
    <w:p w14:paraId="398DDB0E" w14:textId="77777777" w:rsidR="001336E4" w:rsidRDefault="001336E4" w:rsidP="001336E4">
      <w:pPr>
        <w:spacing w:line="360" w:lineRule="auto"/>
        <w:jc w:val="both"/>
        <w:rPr>
          <w:rFonts w:ascii="Times New Roman" w:hAnsi="Times New Roman" w:cs="Times New Roman"/>
        </w:rPr>
      </w:pPr>
      <w:r w:rsidRPr="001336E4">
        <w:rPr>
          <w:rFonts w:ascii="Times New Roman" w:hAnsi="Times New Roman" w:cs="Times New Roman"/>
        </w:rPr>
        <w:t xml:space="preserve">Detailed examination of </w:t>
      </w:r>
      <w:r w:rsidRPr="001336E4">
        <w:rPr>
          <w:rFonts w:ascii="Times New Roman" w:hAnsi="Times New Roman" w:cs="Times New Roman"/>
          <w:i/>
          <w:iCs/>
        </w:rPr>
        <w:t>Macrotermes</w:t>
      </w:r>
      <w:r w:rsidRPr="001336E4">
        <w:rPr>
          <w:rFonts w:ascii="Times New Roman" w:hAnsi="Times New Roman" w:cs="Times New Roman"/>
        </w:rPr>
        <w:t xml:space="preserve"> mounds showed a complex external and internal architecture. Mound height ranged from 115–125 cm with basal diameters of 180–200 cm. External ventilation holes (2–6 cm diameter) were distributed across the mound surface, facilitating gas exchange. Internal observations revealed well-defined layers with centrally located fungal comb chambers. Most combs were positioned in the mid-to-lower regions of the mound, connected by fine tunnels forming a continuous ventilation network. This architecture supports stable microclimatic conditions essential for termite survival and </w:t>
      </w:r>
      <w:r w:rsidRPr="001336E4">
        <w:rPr>
          <w:rFonts w:ascii="Times New Roman" w:hAnsi="Times New Roman" w:cs="Times New Roman"/>
          <w:i/>
          <w:iCs/>
        </w:rPr>
        <w:t>Termitomyces</w:t>
      </w:r>
      <w:r w:rsidRPr="001336E4">
        <w:rPr>
          <w:rFonts w:ascii="Times New Roman" w:hAnsi="Times New Roman" w:cs="Times New Roman"/>
        </w:rPr>
        <w:t xml:space="preserve"> growth, functioning as a natural “bioreactor.”</w:t>
      </w:r>
    </w:p>
    <w:p w14:paraId="121989F2" w14:textId="77777777" w:rsidR="001336E4" w:rsidRPr="001336E4" w:rsidRDefault="001336E4" w:rsidP="001336E4">
      <w:pPr>
        <w:spacing w:line="360" w:lineRule="auto"/>
        <w:jc w:val="both"/>
        <w:rPr>
          <w:rFonts w:ascii="Times New Roman" w:hAnsi="Times New Roman" w:cs="Times New Roman"/>
        </w:rPr>
      </w:pPr>
      <w:r w:rsidRPr="001336E4">
        <w:rPr>
          <w:rFonts w:ascii="Times New Roman" w:hAnsi="Times New Roman" w:cs="Times New Roman"/>
        </w:rPr>
        <w:t>Morphometric analysis of 40 fungal combs showed considerable variability in size and weight, reflecting different developmental stages. Average comb dimensions were 16.25 ± 3.1 cm in length and 12.17 ± 2.6 cm in width, with a mean fresh weight of 230.47 ± 92 g. Larger and heavier combs were concentrated in the mound center, suggesting progressive comb development through continuous remodeling by worker termites.</w:t>
      </w:r>
    </w:p>
    <w:p w14:paraId="57776594" w14:textId="14430694" w:rsidR="00021782" w:rsidRDefault="001336E4" w:rsidP="001336E4">
      <w:pPr>
        <w:spacing w:line="360" w:lineRule="auto"/>
        <w:jc w:val="both"/>
        <w:rPr>
          <w:rFonts w:ascii="Times New Roman" w:hAnsi="Times New Roman" w:cs="Times New Roman"/>
        </w:rPr>
      </w:pPr>
      <w:r w:rsidRPr="001336E4">
        <w:rPr>
          <w:rFonts w:ascii="Times New Roman" w:hAnsi="Times New Roman" w:cs="Times New Roman"/>
        </w:rPr>
        <w:t xml:space="preserve">Pure cultures of </w:t>
      </w:r>
      <w:r w:rsidRPr="001336E4">
        <w:rPr>
          <w:rFonts w:ascii="Times New Roman" w:hAnsi="Times New Roman" w:cs="Times New Roman"/>
          <w:i/>
          <w:iCs/>
        </w:rPr>
        <w:t>Termitomyces</w:t>
      </w:r>
      <w:r w:rsidRPr="001336E4">
        <w:rPr>
          <w:rFonts w:ascii="Times New Roman" w:hAnsi="Times New Roman" w:cs="Times New Roman"/>
        </w:rPr>
        <w:t xml:space="preserve"> were successfully isolated from fungal nodules and 3-day-old combs, while fresh combs showed heavy microbial contamination. Dual culture assays demonstrated strong antagonism by </w:t>
      </w:r>
      <w:r w:rsidRPr="001336E4">
        <w:rPr>
          <w:rFonts w:ascii="Times New Roman" w:hAnsi="Times New Roman" w:cs="Times New Roman"/>
          <w:i/>
          <w:iCs/>
        </w:rPr>
        <w:t>Trichoderma viride</w:t>
      </w:r>
      <w:r w:rsidRPr="001336E4">
        <w:rPr>
          <w:rFonts w:ascii="Times New Roman" w:hAnsi="Times New Roman" w:cs="Times New Roman"/>
        </w:rPr>
        <w:t xml:space="preserve">, which significantly inhibited the radial growth of </w:t>
      </w:r>
      <w:r w:rsidRPr="001336E4">
        <w:rPr>
          <w:rFonts w:ascii="Times New Roman" w:hAnsi="Times New Roman" w:cs="Times New Roman"/>
          <w:i/>
          <w:iCs/>
        </w:rPr>
        <w:t>Termitomyces</w:t>
      </w:r>
      <w:r w:rsidRPr="001336E4">
        <w:rPr>
          <w:rFonts w:ascii="Times New Roman" w:hAnsi="Times New Roman" w:cs="Times New Roman"/>
        </w:rPr>
        <w:t xml:space="preserve">, reaching 83.33% inhibition after 14 days. Substrate trials identified tamarind seed + fenugreek seed as the most suitable formulation for </w:t>
      </w:r>
      <w:r w:rsidRPr="001336E4">
        <w:rPr>
          <w:rFonts w:ascii="Times New Roman" w:hAnsi="Times New Roman" w:cs="Times New Roman"/>
          <w:i/>
          <w:iCs/>
        </w:rPr>
        <w:t>T. viride</w:t>
      </w:r>
      <w:r w:rsidRPr="001336E4">
        <w:rPr>
          <w:rFonts w:ascii="Times New Roman" w:hAnsi="Times New Roman" w:cs="Times New Roman"/>
        </w:rPr>
        <w:t xml:space="preserve"> sporulation. </w:t>
      </w:r>
      <w:r w:rsidRPr="001336E4">
        <w:rPr>
          <w:rFonts w:ascii="Times New Roman" w:hAnsi="Times New Roman" w:cs="Times New Roman"/>
        </w:rPr>
        <w:lastRenderedPageBreak/>
        <w:t xml:space="preserve">Entomopathogenic fungi caused significant termite mortality, with </w:t>
      </w:r>
      <w:r w:rsidRPr="001336E4">
        <w:rPr>
          <w:rFonts w:ascii="Times New Roman" w:hAnsi="Times New Roman" w:cs="Times New Roman"/>
          <w:i/>
          <w:iCs/>
        </w:rPr>
        <w:t>Paecilomyces</w:t>
      </w:r>
      <w:r w:rsidRPr="001336E4">
        <w:rPr>
          <w:rFonts w:ascii="Times New Roman" w:hAnsi="Times New Roman" w:cs="Times New Roman"/>
        </w:rPr>
        <w:t xml:space="preserve"> showing the highest effectiveness. Overall, the findings highlight the strong potential of fungal antagonists as eco-friendly biocontrol agents for sustainable termite management.</w:t>
      </w:r>
    </w:p>
    <w:p w14:paraId="018916F5" w14:textId="77777777" w:rsidR="00AA119B" w:rsidRDefault="00AA119B" w:rsidP="001336E4">
      <w:pPr>
        <w:spacing w:line="360" w:lineRule="auto"/>
        <w:jc w:val="both"/>
        <w:rPr>
          <w:rFonts w:ascii="Times New Roman" w:hAnsi="Times New Roman" w:cs="Times New Roman"/>
        </w:rPr>
      </w:pPr>
    </w:p>
    <w:p w14:paraId="0254B9CF" w14:textId="77A0813F" w:rsidR="00ED3B5A" w:rsidRPr="004A0B71" w:rsidRDefault="004A0B71" w:rsidP="001336E4">
      <w:pPr>
        <w:spacing w:line="360" w:lineRule="auto"/>
        <w:jc w:val="both"/>
        <w:rPr>
          <w:rFonts w:ascii="Times New Roman" w:hAnsi="Times New Roman" w:cs="Times New Roman"/>
          <w:b/>
          <w:bCs/>
        </w:rPr>
      </w:pPr>
      <w:r w:rsidRPr="004A0B71">
        <w:rPr>
          <w:rFonts w:ascii="Times New Roman" w:hAnsi="Times New Roman" w:cs="Times New Roman"/>
          <w:b/>
          <w:bCs/>
        </w:rPr>
        <w:t xml:space="preserve">Dual culture of </w:t>
      </w:r>
      <w:r w:rsidRPr="004A0B71">
        <w:rPr>
          <w:rFonts w:ascii="Times New Roman" w:hAnsi="Times New Roman" w:cs="Times New Roman"/>
          <w:b/>
          <w:bCs/>
          <w:i/>
          <w:iCs/>
        </w:rPr>
        <w:t>Termitomyces</w:t>
      </w:r>
      <w:r w:rsidRPr="004A0B71">
        <w:rPr>
          <w:rFonts w:ascii="Times New Roman" w:hAnsi="Times New Roman" w:cs="Times New Roman"/>
          <w:b/>
          <w:bCs/>
        </w:rPr>
        <w:t xml:space="preserve"> and </w:t>
      </w:r>
      <w:r w:rsidRPr="004A0B71">
        <w:rPr>
          <w:rFonts w:ascii="Times New Roman" w:hAnsi="Times New Roman" w:cs="Times New Roman"/>
          <w:b/>
          <w:bCs/>
          <w:i/>
          <w:iCs/>
        </w:rPr>
        <w:t>Trichoderma viride</w:t>
      </w:r>
    </w:p>
    <w:tbl>
      <w:tblPr>
        <w:tblStyle w:val="TableGrid"/>
        <w:tblW w:w="8102" w:type="dxa"/>
        <w:tblLook w:val="04A0" w:firstRow="1" w:lastRow="0" w:firstColumn="1" w:lastColumn="0" w:noHBand="0" w:noVBand="1"/>
      </w:tblPr>
      <w:tblGrid>
        <w:gridCol w:w="4051"/>
        <w:gridCol w:w="4051"/>
      </w:tblGrid>
      <w:tr w:rsidR="00ED3B5A" w:rsidRPr="00D95DD5" w14:paraId="5D154BD5" w14:textId="77777777" w:rsidTr="00E317AA">
        <w:trPr>
          <w:trHeight w:val="1593"/>
        </w:trPr>
        <w:tc>
          <w:tcPr>
            <w:tcW w:w="4051" w:type="dxa"/>
            <w:tcBorders>
              <w:top w:val="nil"/>
              <w:left w:val="nil"/>
              <w:bottom w:val="nil"/>
              <w:right w:val="nil"/>
            </w:tcBorders>
          </w:tcPr>
          <w:p w14:paraId="795B4431" w14:textId="77777777" w:rsidR="00ED3B5A" w:rsidRPr="00D95DD5" w:rsidRDefault="00ED3B5A" w:rsidP="004C54C9">
            <w:pPr>
              <w:rPr>
                <w:rFonts w:ascii="Times New Roman" w:hAnsi="Times New Roman" w:cs="Times New Roman"/>
              </w:rPr>
            </w:pPr>
            <w:r w:rsidRPr="00D95DD5">
              <w:rPr>
                <w:rFonts w:ascii="Times New Roman" w:hAnsi="Times New Roman" w:cs="Times New Roman"/>
                <w:noProof/>
              </w:rPr>
              <w:drawing>
                <wp:inline distT="0" distB="0" distL="0" distR="0" wp14:anchorId="760E3FCE" wp14:editId="1BB2ADBC">
                  <wp:extent cx="2209800" cy="2293200"/>
                  <wp:effectExtent l="0" t="0" r="0" b="0"/>
                  <wp:docPr id="111118267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4409" cy="2297982"/>
                          </a:xfrm>
                          <a:prstGeom prst="rect">
                            <a:avLst/>
                          </a:prstGeom>
                          <a:noFill/>
                        </pic:spPr>
                      </pic:pic>
                    </a:graphicData>
                  </a:graphic>
                </wp:inline>
              </w:drawing>
            </w:r>
          </w:p>
        </w:tc>
        <w:tc>
          <w:tcPr>
            <w:tcW w:w="4051" w:type="dxa"/>
            <w:tcBorders>
              <w:top w:val="nil"/>
              <w:left w:val="nil"/>
              <w:bottom w:val="nil"/>
              <w:right w:val="nil"/>
            </w:tcBorders>
          </w:tcPr>
          <w:p w14:paraId="3D5410CD" w14:textId="77777777" w:rsidR="00ED3B5A" w:rsidRPr="00D95DD5" w:rsidRDefault="00ED3B5A" w:rsidP="004C54C9">
            <w:pPr>
              <w:rPr>
                <w:rFonts w:ascii="Times New Roman" w:hAnsi="Times New Roman" w:cs="Times New Roman"/>
              </w:rPr>
            </w:pPr>
            <w:r w:rsidRPr="00D95DD5">
              <w:rPr>
                <w:rFonts w:ascii="Times New Roman" w:hAnsi="Times New Roman" w:cs="Times New Roman"/>
                <w:noProof/>
              </w:rPr>
              <w:drawing>
                <wp:inline distT="0" distB="0" distL="0" distR="0" wp14:anchorId="30BFCE5A" wp14:editId="495C305B">
                  <wp:extent cx="2315687" cy="2265218"/>
                  <wp:effectExtent l="0" t="0" r="8890" b="1905"/>
                  <wp:docPr id="186295788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8282" cy="2267756"/>
                          </a:xfrm>
                          <a:prstGeom prst="rect">
                            <a:avLst/>
                          </a:prstGeom>
                          <a:noFill/>
                        </pic:spPr>
                      </pic:pic>
                    </a:graphicData>
                  </a:graphic>
                </wp:inline>
              </w:drawing>
            </w:r>
          </w:p>
        </w:tc>
      </w:tr>
      <w:tr w:rsidR="00ED3B5A" w:rsidRPr="00D95DD5" w14:paraId="46E8AA55" w14:textId="77777777" w:rsidTr="00E317AA">
        <w:trPr>
          <w:trHeight w:val="448"/>
        </w:trPr>
        <w:tc>
          <w:tcPr>
            <w:tcW w:w="4051" w:type="dxa"/>
            <w:tcBorders>
              <w:top w:val="nil"/>
              <w:left w:val="nil"/>
              <w:bottom w:val="nil"/>
              <w:right w:val="nil"/>
            </w:tcBorders>
          </w:tcPr>
          <w:p w14:paraId="150B0F89" w14:textId="644A8A83" w:rsidR="00ED3B5A" w:rsidRPr="00D95DD5" w:rsidRDefault="00ED3B5A" w:rsidP="004C54C9">
            <w:pPr>
              <w:jc w:val="center"/>
              <w:rPr>
                <w:rFonts w:ascii="Times New Roman" w:hAnsi="Times New Roman" w:cs="Times New Roman"/>
              </w:rPr>
            </w:pPr>
            <w:r w:rsidRPr="00D95DD5">
              <w:rPr>
                <w:rFonts w:ascii="Times New Roman" w:hAnsi="Times New Roman" w:cs="Times New Roman"/>
              </w:rPr>
              <w:t xml:space="preserve">Plate </w:t>
            </w:r>
            <w:r>
              <w:rPr>
                <w:rFonts w:ascii="Times New Roman" w:hAnsi="Times New Roman" w:cs="Times New Roman"/>
              </w:rPr>
              <w:t>1</w:t>
            </w:r>
            <w:r w:rsidRPr="00D95DD5">
              <w:rPr>
                <w:rFonts w:ascii="Times New Roman" w:hAnsi="Times New Roman" w:cs="Times New Roman"/>
              </w:rPr>
              <w:t>(a)</w:t>
            </w:r>
          </w:p>
        </w:tc>
        <w:tc>
          <w:tcPr>
            <w:tcW w:w="4051" w:type="dxa"/>
            <w:tcBorders>
              <w:top w:val="nil"/>
              <w:left w:val="nil"/>
              <w:bottom w:val="nil"/>
              <w:right w:val="nil"/>
            </w:tcBorders>
          </w:tcPr>
          <w:p w14:paraId="645FB67C" w14:textId="09FDD84D" w:rsidR="00ED3B5A" w:rsidRPr="00D95DD5" w:rsidRDefault="00ED3B5A" w:rsidP="004C54C9">
            <w:pPr>
              <w:jc w:val="center"/>
              <w:rPr>
                <w:rFonts w:ascii="Times New Roman" w:hAnsi="Times New Roman" w:cs="Times New Roman"/>
              </w:rPr>
            </w:pPr>
            <w:r w:rsidRPr="00D95DD5">
              <w:rPr>
                <w:rFonts w:ascii="Times New Roman" w:hAnsi="Times New Roman" w:cs="Times New Roman"/>
              </w:rPr>
              <w:t xml:space="preserve">Plate </w:t>
            </w:r>
            <w:r>
              <w:rPr>
                <w:rFonts w:ascii="Times New Roman" w:hAnsi="Times New Roman" w:cs="Times New Roman"/>
              </w:rPr>
              <w:t>1</w:t>
            </w:r>
            <w:r w:rsidRPr="00D95DD5">
              <w:rPr>
                <w:rFonts w:ascii="Times New Roman" w:hAnsi="Times New Roman" w:cs="Times New Roman"/>
              </w:rPr>
              <w:t>(b)</w:t>
            </w:r>
          </w:p>
        </w:tc>
      </w:tr>
      <w:tr w:rsidR="00ED3B5A" w:rsidRPr="00D95DD5" w14:paraId="3A0973B9" w14:textId="77777777" w:rsidTr="00E317AA">
        <w:trPr>
          <w:trHeight w:val="1593"/>
        </w:trPr>
        <w:tc>
          <w:tcPr>
            <w:tcW w:w="4051" w:type="dxa"/>
            <w:tcBorders>
              <w:top w:val="nil"/>
              <w:left w:val="nil"/>
              <w:bottom w:val="nil"/>
              <w:right w:val="nil"/>
            </w:tcBorders>
          </w:tcPr>
          <w:p w14:paraId="66DB5F4F" w14:textId="77777777" w:rsidR="00ED3B5A" w:rsidRPr="00D95DD5" w:rsidRDefault="00ED3B5A" w:rsidP="004C54C9">
            <w:pPr>
              <w:rPr>
                <w:rFonts w:ascii="Times New Roman" w:hAnsi="Times New Roman" w:cs="Times New Roman"/>
              </w:rPr>
            </w:pPr>
            <w:r w:rsidRPr="00D95DD5">
              <w:rPr>
                <w:rFonts w:ascii="Times New Roman" w:hAnsi="Times New Roman" w:cs="Times New Roman"/>
                <w:noProof/>
              </w:rPr>
              <w:drawing>
                <wp:inline distT="0" distB="0" distL="0" distR="0" wp14:anchorId="70B7EED8" wp14:editId="5B52C1DD">
                  <wp:extent cx="2320637" cy="2364758"/>
                  <wp:effectExtent l="0" t="0" r="3810" b="0"/>
                  <wp:docPr id="27645675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1849" cy="2365993"/>
                          </a:xfrm>
                          <a:prstGeom prst="rect">
                            <a:avLst/>
                          </a:prstGeom>
                          <a:noFill/>
                        </pic:spPr>
                      </pic:pic>
                    </a:graphicData>
                  </a:graphic>
                </wp:inline>
              </w:drawing>
            </w:r>
          </w:p>
        </w:tc>
        <w:tc>
          <w:tcPr>
            <w:tcW w:w="4051" w:type="dxa"/>
            <w:tcBorders>
              <w:top w:val="nil"/>
              <w:left w:val="nil"/>
              <w:bottom w:val="nil"/>
              <w:right w:val="nil"/>
            </w:tcBorders>
          </w:tcPr>
          <w:p w14:paraId="08E45123" w14:textId="77777777" w:rsidR="00ED3B5A" w:rsidRPr="00D95DD5" w:rsidRDefault="00ED3B5A" w:rsidP="004C54C9">
            <w:pPr>
              <w:rPr>
                <w:rFonts w:ascii="Times New Roman" w:hAnsi="Times New Roman" w:cs="Times New Roman"/>
              </w:rPr>
            </w:pPr>
            <w:r w:rsidRPr="00D95DD5">
              <w:rPr>
                <w:rFonts w:ascii="Times New Roman" w:hAnsi="Times New Roman" w:cs="Times New Roman"/>
                <w:noProof/>
              </w:rPr>
              <w:drawing>
                <wp:inline distT="0" distB="0" distL="0" distR="0" wp14:anchorId="10E41C9F" wp14:editId="1A2AB15E">
                  <wp:extent cx="2327563" cy="2346827"/>
                  <wp:effectExtent l="0" t="0" r="0" b="0"/>
                  <wp:docPr id="24624538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1461" cy="2350757"/>
                          </a:xfrm>
                          <a:prstGeom prst="rect">
                            <a:avLst/>
                          </a:prstGeom>
                          <a:noFill/>
                        </pic:spPr>
                      </pic:pic>
                    </a:graphicData>
                  </a:graphic>
                </wp:inline>
              </w:drawing>
            </w:r>
          </w:p>
        </w:tc>
      </w:tr>
      <w:tr w:rsidR="00ED3B5A" w:rsidRPr="00D95DD5" w14:paraId="13CB371E" w14:textId="77777777" w:rsidTr="00E317AA">
        <w:trPr>
          <w:trHeight w:val="356"/>
        </w:trPr>
        <w:tc>
          <w:tcPr>
            <w:tcW w:w="4051" w:type="dxa"/>
            <w:tcBorders>
              <w:top w:val="nil"/>
              <w:left w:val="nil"/>
              <w:bottom w:val="nil"/>
              <w:right w:val="nil"/>
            </w:tcBorders>
          </w:tcPr>
          <w:p w14:paraId="17A9490A" w14:textId="75F7407B" w:rsidR="00ED3B5A" w:rsidRPr="00D95DD5" w:rsidRDefault="00ED3B5A" w:rsidP="004C54C9">
            <w:pPr>
              <w:jc w:val="center"/>
              <w:rPr>
                <w:rFonts w:ascii="Times New Roman" w:hAnsi="Times New Roman" w:cs="Times New Roman"/>
              </w:rPr>
            </w:pPr>
            <w:r w:rsidRPr="00D95DD5">
              <w:rPr>
                <w:rFonts w:ascii="Times New Roman" w:hAnsi="Times New Roman" w:cs="Times New Roman"/>
              </w:rPr>
              <w:t xml:space="preserve">Plate </w:t>
            </w:r>
            <w:r>
              <w:rPr>
                <w:rFonts w:ascii="Times New Roman" w:hAnsi="Times New Roman" w:cs="Times New Roman"/>
              </w:rPr>
              <w:t>1</w:t>
            </w:r>
            <w:r w:rsidRPr="00D95DD5">
              <w:rPr>
                <w:rFonts w:ascii="Times New Roman" w:hAnsi="Times New Roman" w:cs="Times New Roman"/>
              </w:rPr>
              <w:t>(c)</w:t>
            </w:r>
          </w:p>
        </w:tc>
        <w:tc>
          <w:tcPr>
            <w:tcW w:w="4051" w:type="dxa"/>
            <w:tcBorders>
              <w:top w:val="nil"/>
              <w:left w:val="nil"/>
              <w:bottom w:val="nil"/>
              <w:right w:val="nil"/>
            </w:tcBorders>
          </w:tcPr>
          <w:p w14:paraId="5463CD63" w14:textId="05C874D3" w:rsidR="00ED3B5A" w:rsidRPr="00D95DD5" w:rsidRDefault="00ED3B5A" w:rsidP="004C54C9">
            <w:pPr>
              <w:keepNext/>
              <w:jc w:val="center"/>
              <w:rPr>
                <w:rFonts w:ascii="Times New Roman" w:hAnsi="Times New Roman" w:cs="Times New Roman"/>
              </w:rPr>
            </w:pPr>
            <w:r w:rsidRPr="00D95DD5">
              <w:rPr>
                <w:rFonts w:ascii="Times New Roman" w:hAnsi="Times New Roman" w:cs="Times New Roman"/>
              </w:rPr>
              <w:t xml:space="preserve">Plate </w:t>
            </w:r>
            <w:r>
              <w:rPr>
                <w:rFonts w:ascii="Times New Roman" w:hAnsi="Times New Roman" w:cs="Times New Roman"/>
              </w:rPr>
              <w:t>1</w:t>
            </w:r>
            <w:r w:rsidRPr="00D95DD5">
              <w:rPr>
                <w:rFonts w:ascii="Times New Roman" w:hAnsi="Times New Roman" w:cs="Times New Roman"/>
              </w:rPr>
              <w:t>(d)</w:t>
            </w:r>
          </w:p>
        </w:tc>
      </w:tr>
    </w:tbl>
    <w:p w14:paraId="5E5EE3F0" w14:textId="77777777" w:rsidR="00ED3B5A" w:rsidRPr="001336E4" w:rsidRDefault="00ED3B5A" w:rsidP="001336E4">
      <w:pPr>
        <w:spacing w:line="360" w:lineRule="auto"/>
        <w:jc w:val="both"/>
        <w:rPr>
          <w:rFonts w:ascii="Times New Roman" w:hAnsi="Times New Roman" w:cs="Times New Roman"/>
        </w:rPr>
      </w:pPr>
    </w:p>
    <w:p w14:paraId="36281289" w14:textId="77777777" w:rsidR="00D02B11" w:rsidRDefault="00ED3B5A" w:rsidP="00D02B11">
      <w:pPr>
        <w:spacing w:line="360" w:lineRule="auto"/>
        <w:jc w:val="both"/>
        <w:rPr>
          <w:rFonts w:ascii="Times New Roman" w:hAnsi="Times New Roman" w:cs="Times New Roman"/>
        </w:rPr>
      </w:pPr>
      <w:bookmarkStart w:id="0" w:name="_Toc212445716"/>
      <w:r w:rsidRPr="00ED3B5A">
        <w:rPr>
          <w:rFonts w:ascii="Times New Roman" w:hAnsi="Times New Roman" w:cs="Times New Roman"/>
        </w:rPr>
        <w:t>Plate</w:t>
      </w:r>
      <w:r>
        <w:rPr>
          <w:rFonts w:ascii="Times New Roman" w:hAnsi="Times New Roman" w:cs="Times New Roman"/>
        </w:rPr>
        <w:t>1</w:t>
      </w:r>
      <w:r w:rsidRPr="00ED3B5A">
        <w:rPr>
          <w:rFonts w:ascii="Times New Roman" w:hAnsi="Times New Roman" w:cs="Times New Roman"/>
        </w:rPr>
        <w:t xml:space="preserve">: Dual culture assay of </w:t>
      </w:r>
      <w:r w:rsidRPr="00ED3B5A">
        <w:rPr>
          <w:rFonts w:ascii="Times New Roman" w:hAnsi="Times New Roman" w:cs="Times New Roman"/>
          <w:i/>
          <w:iCs/>
        </w:rPr>
        <w:t>Termitomyces</w:t>
      </w:r>
      <w:r w:rsidRPr="00ED3B5A">
        <w:rPr>
          <w:rFonts w:ascii="Times New Roman" w:hAnsi="Times New Roman" w:cs="Times New Roman"/>
        </w:rPr>
        <w:t xml:space="preserve"> and </w:t>
      </w:r>
      <w:r w:rsidRPr="00ED3B5A">
        <w:rPr>
          <w:rFonts w:ascii="Times New Roman" w:hAnsi="Times New Roman" w:cs="Times New Roman"/>
          <w:i/>
          <w:iCs/>
        </w:rPr>
        <w:t>T. viride</w:t>
      </w:r>
      <w:r w:rsidRPr="00ED3B5A">
        <w:rPr>
          <w:rFonts w:ascii="Times New Roman" w:hAnsi="Times New Roman" w:cs="Times New Roman"/>
        </w:rPr>
        <w:t xml:space="preserve"> on PDA medium. (a): 3 days of inoculation, (b): 5 days of inoculation, (c): 7 days of inoculation, (d): 14 days of inoculation.</w:t>
      </w:r>
      <w:bookmarkStart w:id="1" w:name="_Toc212398720"/>
      <w:bookmarkEnd w:id="0"/>
    </w:p>
    <w:p w14:paraId="6215ECF3" w14:textId="77777777" w:rsidR="00E317AA" w:rsidRDefault="00E317AA" w:rsidP="00D02B11">
      <w:pPr>
        <w:spacing w:line="360" w:lineRule="auto"/>
        <w:jc w:val="both"/>
        <w:rPr>
          <w:rFonts w:ascii="Times New Roman" w:hAnsi="Times New Roman" w:cs="Times New Roman"/>
          <w:b/>
          <w:bCs/>
        </w:rPr>
      </w:pPr>
    </w:p>
    <w:p w14:paraId="547BE1FD" w14:textId="188FDCCA" w:rsidR="00021782" w:rsidRPr="00FA501E" w:rsidRDefault="00021782" w:rsidP="00D02B11">
      <w:pPr>
        <w:spacing w:line="360" w:lineRule="auto"/>
        <w:jc w:val="both"/>
        <w:rPr>
          <w:rFonts w:ascii="Times New Roman" w:hAnsi="Times New Roman" w:cs="Times New Roman"/>
          <w:i/>
          <w:iCs/>
        </w:rPr>
      </w:pPr>
      <w:r w:rsidRPr="00021782">
        <w:rPr>
          <w:rFonts w:ascii="Times New Roman" w:hAnsi="Times New Roman" w:cs="Times New Roman"/>
          <w:b/>
          <w:bCs/>
        </w:rPr>
        <w:lastRenderedPageBreak/>
        <w:t xml:space="preserve">Percent inhibition of radial growth (PIRG) of </w:t>
      </w:r>
      <w:r w:rsidRPr="00FA501E">
        <w:rPr>
          <w:rFonts w:ascii="Times New Roman" w:hAnsi="Times New Roman" w:cs="Times New Roman"/>
          <w:b/>
          <w:bCs/>
          <w:i/>
          <w:iCs/>
        </w:rPr>
        <w:t xml:space="preserve">Termitomyces </w:t>
      </w:r>
      <w:bookmarkEnd w:id="1"/>
    </w:p>
    <w:p w14:paraId="4DE7F453" w14:textId="7B75A37E" w:rsidR="004A0B71" w:rsidRDefault="004A0B71" w:rsidP="00430A9A">
      <w:pPr>
        <w:spacing w:line="360" w:lineRule="auto"/>
        <w:jc w:val="both"/>
        <w:rPr>
          <w:rFonts w:ascii="Times New Roman" w:hAnsi="Times New Roman" w:cs="Times New Roman"/>
          <w:b/>
          <w:bCs/>
        </w:rPr>
      </w:pPr>
      <w:r w:rsidRPr="004A0B71">
        <w:rPr>
          <w:noProof/>
        </w:rPr>
        <w:drawing>
          <wp:inline distT="0" distB="0" distL="0" distR="0" wp14:anchorId="6B0E1C6C" wp14:editId="718F4A9D">
            <wp:extent cx="5826820" cy="2371329"/>
            <wp:effectExtent l="0" t="0" r="0" b="0"/>
            <wp:docPr id="1030912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506" cy="2377713"/>
                    </a:xfrm>
                    <a:prstGeom prst="rect">
                      <a:avLst/>
                    </a:prstGeom>
                    <a:noFill/>
                    <a:ln>
                      <a:noFill/>
                    </a:ln>
                  </pic:spPr>
                </pic:pic>
              </a:graphicData>
            </a:graphic>
          </wp:inline>
        </w:drawing>
      </w:r>
    </w:p>
    <w:p w14:paraId="76BCD835" w14:textId="271E4A47" w:rsidR="00021782" w:rsidRDefault="00021782" w:rsidP="00021782">
      <w:pPr>
        <w:pStyle w:val="Caption"/>
        <w:rPr>
          <w:rFonts w:ascii="Times New Roman" w:hAnsi="Times New Roman" w:cs="Times New Roman"/>
          <w:i w:val="0"/>
          <w:iCs w:val="0"/>
          <w:color w:val="auto"/>
          <w:sz w:val="24"/>
          <w:szCs w:val="24"/>
        </w:rPr>
      </w:pPr>
      <w:r w:rsidRPr="00D95DD5">
        <w:rPr>
          <w:rFonts w:ascii="Times New Roman" w:hAnsi="Times New Roman" w:cs="Times New Roman"/>
          <w:i w:val="0"/>
          <w:iCs w:val="0"/>
          <w:color w:val="auto"/>
          <w:sz w:val="24"/>
          <w:szCs w:val="24"/>
        </w:rPr>
        <w:t xml:space="preserve">Table </w:t>
      </w:r>
      <w:r>
        <w:rPr>
          <w:rFonts w:ascii="Times New Roman" w:hAnsi="Times New Roman" w:cs="Times New Roman"/>
          <w:i w:val="0"/>
          <w:iCs w:val="0"/>
          <w:color w:val="auto"/>
          <w:sz w:val="24"/>
          <w:szCs w:val="24"/>
        </w:rPr>
        <w:t xml:space="preserve">1: </w:t>
      </w:r>
      <w:r w:rsidRPr="00D95DD5">
        <w:rPr>
          <w:rFonts w:ascii="Times New Roman" w:hAnsi="Times New Roman" w:cs="Times New Roman"/>
          <w:i w:val="0"/>
          <w:iCs w:val="0"/>
          <w:color w:val="auto"/>
          <w:sz w:val="24"/>
          <w:szCs w:val="24"/>
        </w:rPr>
        <w:t xml:space="preserve">Percent inhibition of radial growth (PIRG) of </w:t>
      </w:r>
      <w:r w:rsidRPr="00D95DD5">
        <w:rPr>
          <w:rFonts w:ascii="Times New Roman" w:hAnsi="Times New Roman" w:cs="Times New Roman"/>
          <w:color w:val="auto"/>
          <w:sz w:val="24"/>
          <w:szCs w:val="24"/>
        </w:rPr>
        <w:t>Termitomyces</w:t>
      </w:r>
      <w:r w:rsidRPr="00D95DD5">
        <w:rPr>
          <w:rFonts w:ascii="Times New Roman" w:hAnsi="Times New Roman" w:cs="Times New Roman"/>
          <w:i w:val="0"/>
          <w:iCs w:val="0"/>
          <w:color w:val="auto"/>
          <w:sz w:val="24"/>
          <w:szCs w:val="24"/>
        </w:rPr>
        <w:t xml:space="preserve"> </w:t>
      </w:r>
    </w:p>
    <w:p w14:paraId="2CD0E00C" w14:textId="77777777" w:rsidR="004A0B71" w:rsidRDefault="004A0B71" w:rsidP="00430A9A">
      <w:pPr>
        <w:spacing w:line="360" w:lineRule="auto"/>
        <w:jc w:val="both"/>
        <w:rPr>
          <w:rFonts w:ascii="Times New Roman" w:hAnsi="Times New Roman" w:cs="Times New Roman"/>
          <w:b/>
          <w:bCs/>
        </w:rPr>
      </w:pPr>
    </w:p>
    <w:p w14:paraId="7E60717A" w14:textId="554E56FC" w:rsidR="00912F9B" w:rsidRPr="00346C90" w:rsidRDefault="00912F9B" w:rsidP="00430A9A">
      <w:pPr>
        <w:spacing w:line="360" w:lineRule="auto"/>
        <w:jc w:val="both"/>
        <w:rPr>
          <w:rFonts w:ascii="Times New Roman" w:hAnsi="Times New Roman" w:cs="Times New Roman"/>
          <w:b/>
          <w:bCs/>
        </w:rPr>
      </w:pPr>
      <w:r w:rsidRPr="00D95DD5">
        <w:rPr>
          <w:rFonts w:ascii="Times New Roman" w:hAnsi="Times New Roman" w:cs="Times New Roman"/>
          <w:b/>
          <w:bCs/>
        </w:rPr>
        <w:t xml:space="preserve">Growth and colonization pattern of </w:t>
      </w:r>
      <w:r w:rsidRPr="00D95DD5">
        <w:rPr>
          <w:rFonts w:ascii="Times New Roman" w:hAnsi="Times New Roman" w:cs="Times New Roman"/>
          <w:b/>
          <w:bCs/>
          <w:i/>
          <w:iCs/>
        </w:rPr>
        <w:t>T. viride</w:t>
      </w:r>
      <w:r w:rsidRPr="00D95DD5">
        <w:rPr>
          <w:rFonts w:ascii="Times New Roman" w:hAnsi="Times New Roman" w:cs="Times New Roman"/>
          <w:b/>
          <w:bCs/>
        </w:rPr>
        <w:t xml:space="preserve"> on different substrate balls</w:t>
      </w:r>
    </w:p>
    <w:p w14:paraId="476DDCE0" w14:textId="53DCF3A1" w:rsidR="00021782" w:rsidRPr="00D02B11" w:rsidRDefault="00912F9B" w:rsidP="00D02B11">
      <w:r w:rsidRPr="00D95DD5">
        <w:rPr>
          <w:rFonts w:ascii="Times New Roman" w:hAnsi="Times New Roman" w:cs="Times New Roman"/>
          <w:noProof/>
        </w:rPr>
        <w:drawing>
          <wp:inline distT="0" distB="0" distL="0" distR="0" wp14:anchorId="093A3FBD" wp14:editId="1AABD8A7">
            <wp:extent cx="5720080" cy="3829685"/>
            <wp:effectExtent l="0" t="0" r="13970" b="18415"/>
            <wp:docPr id="556481125" name="Chart 1">
              <a:extLst xmlns:a="http://schemas.openxmlformats.org/drawingml/2006/main">
                <a:ext uri="{FF2B5EF4-FFF2-40B4-BE49-F238E27FC236}">
                  <a16:creationId xmlns:a16="http://schemas.microsoft.com/office/drawing/2014/main" id="{862D25D1-AD85-5286-AB4D-23ECA868C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2" w:name="_Toc212398298"/>
      <w:r w:rsidRPr="00D95DD5">
        <w:rPr>
          <w:rFonts w:ascii="Times New Roman" w:hAnsi="Times New Roman" w:cs="Times New Roman"/>
        </w:rPr>
        <w:t>Figure</w:t>
      </w:r>
      <w:r w:rsidR="00D02B11">
        <w:rPr>
          <w:rFonts w:ascii="Times New Roman" w:hAnsi="Times New Roman" w:cs="Times New Roman"/>
        </w:rPr>
        <w:t>1</w:t>
      </w:r>
      <w:r>
        <w:rPr>
          <w:rFonts w:ascii="Times New Roman" w:hAnsi="Times New Roman" w:cs="Times New Roman"/>
          <w:i/>
          <w:iCs/>
        </w:rPr>
        <w:t xml:space="preserve">: </w:t>
      </w:r>
      <w:r w:rsidRPr="00D95DD5">
        <w:rPr>
          <w:rFonts w:ascii="Times New Roman" w:hAnsi="Times New Roman" w:cs="Times New Roman"/>
        </w:rPr>
        <w:t xml:space="preserve">Combined graph showing substrate pH (line) and spore count of </w:t>
      </w:r>
      <w:r w:rsidRPr="00C62B74">
        <w:rPr>
          <w:rFonts w:ascii="Times New Roman" w:hAnsi="Times New Roman" w:cs="Times New Roman"/>
          <w:i/>
          <w:iCs/>
        </w:rPr>
        <w:t>T. viride</w:t>
      </w:r>
      <w:r w:rsidRPr="00D95DD5">
        <w:rPr>
          <w:rFonts w:ascii="Times New Roman" w:hAnsi="Times New Roman" w:cs="Times New Roman"/>
        </w:rPr>
        <w:t xml:space="preserve"> (bars) after 14 days of incubation.</w:t>
      </w:r>
      <w:bookmarkEnd w:id="2"/>
    </w:p>
    <w:p w14:paraId="084B5EC5" w14:textId="58F6E703" w:rsidR="00021782" w:rsidRPr="00021782" w:rsidRDefault="00021782" w:rsidP="00021782">
      <w:pPr>
        <w:pStyle w:val="Caption"/>
        <w:rPr>
          <w:rFonts w:ascii="Times New Roman" w:hAnsi="Times New Roman" w:cs="Times New Roman"/>
          <w:i w:val="0"/>
          <w:iCs w:val="0"/>
          <w:color w:val="auto"/>
          <w:sz w:val="24"/>
          <w:szCs w:val="24"/>
        </w:rPr>
      </w:pPr>
      <w:r w:rsidRPr="00021782">
        <w:rPr>
          <w:rFonts w:ascii="Times New Roman" w:hAnsi="Times New Roman" w:cs="Times New Roman"/>
          <w:b/>
          <w:bCs/>
          <w:i w:val="0"/>
          <w:iCs w:val="0"/>
          <w:color w:val="auto"/>
          <w:sz w:val="24"/>
          <w:szCs w:val="24"/>
        </w:rPr>
        <w:lastRenderedPageBreak/>
        <w:t>Mortality of termites treated with different Entomopathogenic Fungi</w:t>
      </w:r>
      <w:r>
        <w:rPr>
          <w:rFonts w:ascii="Times New Roman" w:hAnsi="Times New Roman" w:cs="Times New Roman"/>
          <w:b/>
          <w:bCs/>
          <w:i w:val="0"/>
          <w:iCs w:val="0"/>
          <w:color w:val="auto"/>
          <w:sz w:val="24"/>
          <w:szCs w:val="24"/>
        </w:rPr>
        <w:t>(EPF)</w:t>
      </w:r>
    </w:p>
    <w:p w14:paraId="10EB1EDA" w14:textId="7C4D35EF" w:rsidR="00912F9B" w:rsidRDefault="00021782" w:rsidP="00430A9A">
      <w:r w:rsidRPr="00D95DD5">
        <w:rPr>
          <w:rFonts w:ascii="Times New Roman" w:hAnsi="Times New Roman" w:cs="Times New Roman"/>
          <w:noProof/>
        </w:rPr>
        <w:drawing>
          <wp:inline distT="0" distB="0" distL="0" distR="0" wp14:anchorId="391B0836" wp14:editId="5D16D928">
            <wp:extent cx="5417820" cy="3657600"/>
            <wp:effectExtent l="0" t="0" r="11430" b="0"/>
            <wp:docPr id="421846018" name="Chart 1">
              <a:extLst xmlns:a="http://schemas.openxmlformats.org/drawingml/2006/main">
                <a:ext uri="{FF2B5EF4-FFF2-40B4-BE49-F238E27FC236}">
                  <a16:creationId xmlns:a16="http://schemas.microsoft.com/office/drawing/2014/main" id="{540B5187-25A4-7C21-2123-935005309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EE6162" w14:textId="50A1CB92" w:rsidR="00021782" w:rsidRPr="00D95DD5" w:rsidRDefault="00021782" w:rsidP="00021782">
      <w:pPr>
        <w:pStyle w:val="Caption"/>
        <w:rPr>
          <w:rFonts w:ascii="Times New Roman" w:hAnsi="Times New Roman" w:cs="Times New Roman"/>
          <w:i w:val="0"/>
          <w:iCs w:val="0"/>
          <w:color w:val="auto"/>
          <w:sz w:val="24"/>
          <w:szCs w:val="24"/>
        </w:rPr>
      </w:pPr>
      <w:bookmarkStart w:id="3" w:name="_Toc212398299"/>
      <w:r w:rsidRPr="00D95DD5">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t xml:space="preserve">2: </w:t>
      </w:r>
      <w:r w:rsidRPr="00D95DD5">
        <w:rPr>
          <w:rFonts w:ascii="Times New Roman" w:hAnsi="Times New Roman" w:cs="Times New Roman"/>
          <w:i w:val="0"/>
          <w:iCs w:val="0"/>
          <w:color w:val="auto"/>
          <w:sz w:val="24"/>
          <w:szCs w:val="24"/>
        </w:rPr>
        <w:t>Mortality % of termites using different EPF after 3</w:t>
      </w:r>
      <w:r w:rsidRPr="00A93629">
        <w:rPr>
          <w:rFonts w:ascii="Times New Roman" w:hAnsi="Times New Roman" w:cs="Times New Roman"/>
          <w:i w:val="0"/>
          <w:iCs w:val="0"/>
          <w:color w:val="auto"/>
          <w:sz w:val="24"/>
          <w:szCs w:val="24"/>
          <w:vertAlign w:val="superscript"/>
        </w:rPr>
        <w:t>rd</w:t>
      </w:r>
      <w:r w:rsidRPr="00D95DD5">
        <w:rPr>
          <w:rFonts w:ascii="Times New Roman" w:hAnsi="Times New Roman" w:cs="Times New Roman"/>
          <w:i w:val="0"/>
          <w:iCs w:val="0"/>
          <w:color w:val="auto"/>
          <w:sz w:val="24"/>
          <w:szCs w:val="24"/>
        </w:rPr>
        <w:t xml:space="preserve"> day of inoculation.</w:t>
      </w:r>
      <w:bookmarkEnd w:id="3"/>
    </w:p>
    <w:p w14:paraId="6F8239A8" w14:textId="20618003" w:rsidR="004A0B71" w:rsidRDefault="004A0B71" w:rsidP="00430A9A"/>
    <w:p w14:paraId="70B702B1" w14:textId="5D51E5EB" w:rsidR="00AA119B" w:rsidRPr="00AA119B" w:rsidRDefault="00AA119B" w:rsidP="00AA119B">
      <w:pPr>
        <w:spacing w:line="360" w:lineRule="auto"/>
        <w:jc w:val="both"/>
        <w:rPr>
          <w:rFonts w:ascii="Times New Roman" w:hAnsi="Times New Roman" w:cs="Times New Roman"/>
          <w:b/>
          <w:bCs/>
        </w:rPr>
      </w:pPr>
      <w:r w:rsidRPr="00AA119B">
        <w:rPr>
          <w:rFonts w:ascii="Times New Roman" w:hAnsi="Times New Roman" w:cs="Times New Roman"/>
          <w:b/>
          <w:bCs/>
        </w:rPr>
        <w:t>Conclusion</w:t>
      </w:r>
    </w:p>
    <w:p w14:paraId="35381A3D" w14:textId="5382E651" w:rsidR="00AA119B" w:rsidRDefault="00AA119B" w:rsidP="00AA119B">
      <w:pPr>
        <w:spacing w:line="360" w:lineRule="auto"/>
        <w:jc w:val="both"/>
        <w:rPr>
          <w:rFonts w:ascii="Times New Roman" w:hAnsi="Times New Roman" w:cs="Times New Roman"/>
        </w:rPr>
      </w:pPr>
      <w:r w:rsidRPr="00AA119B">
        <w:rPr>
          <w:rFonts w:ascii="Times New Roman" w:hAnsi="Times New Roman" w:cs="Times New Roman"/>
        </w:rPr>
        <w:t xml:space="preserve">The present study provides a comprehensive understanding of the eusocial organization and mound architecture of </w:t>
      </w:r>
      <w:r w:rsidRPr="00AA119B">
        <w:rPr>
          <w:rFonts w:ascii="Times New Roman" w:hAnsi="Times New Roman" w:cs="Times New Roman"/>
          <w:i/>
          <w:iCs/>
        </w:rPr>
        <w:t>Macrotermes</w:t>
      </w:r>
      <w:r w:rsidRPr="00AA119B">
        <w:rPr>
          <w:rFonts w:ascii="Times New Roman" w:hAnsi="Times New Roman" w:cs="Times New Roman"/>
        </w:rPr>
        <w:t xml:space="preserve"> colonies, highlighting their dome-shaped mounds, ventilation systems, and vertically arranged fungal comb chambers that create optimal conditions for the symbiotic fungus </w:t>
      </w:r>
      <w:r w:rsidRPr="00AA119B">
        <w:rPr>
          <w:rFonts w:ascii="Times New Roman" w:hAnsi="Times New Roman" w:cs="Times New Roman"/>
          <w:i/>
          <w:iCs/>
        </w:rPr>
        <w:t>Termitomyces</w:t>
      </w:r>
      <w:r w:rsidRPr="00AA119B">
        <w:rPr>
          <w:rFonts w:ascii="Times New Roman" w:hAnsi="Times New Roman" w:cs="Times New Roman"/>
        </w:rPr>
        <w:t xml:space="preserve">. Morphometric analysis revealed considerable variability in fungal comb size and distribution, reflecting adaptive resource allocation by worker termites. Dual culture assays demonstrated strong antagonistic activity of </w:t>
      </w:r>
      <w:r w:rsidRPr="00AA119B">
        <w:rPr>
          <w:rFonts w:ascii="Times New Roman" w:hAnsi="Times New Roman" w:cs="Times New Roman"/>
          <w:i/>
          <w:iCs/>
        </w:rPr>
        <w:t>Trichoderma viride</w:t>
      </w:r>
      <w:r w:rsidRPr="00AA119B">
        <w:rPr>
          <w:rFonts w:ascii="Times New Roman" w:hAnsi="Times New Roman" w:cs="Times New Roman"/>
        </w:rPr>
        <w:t xml:space="preserve"> against </w:t>
      </w:r>
      <w:r w:rsidRPr="00AA119B">
        <w:rPr>
          <w:rFonts w:ascii="Times New Roman" w:hAnsi="Times New Roman" w:cs="Times New Roman"/>
          <w:i/>
          <w:iCs/>
        </w:rPr>
        <w:t>Termitomyces</w:t>
      </w:r>
      <w:r w:rsidRPr="00AA119B">
        <w:rPr>
          <w:rFonts w:ascii="Times New Roman" w:hAnsi="Times New Roman" w:cs="Times New Roman"/>
        </w:rPr>
        <w:t xml:space="preserve">, with a maximum Percent Inhibition of Radial Growth of 83.33% after 14 days, mainly through rapid mycelial overgrowth and nutrient competition. Substrate composition and pH significantly influenced fungal growth and sporulation, with the tamarind seed and fenugreek seed combination supporting the highest spore production, while extreme pH substrates limited development. Colonization of </w:t>
      </w:r>
      <w:r w:rsidRPr="00AA119B">
        <w:rPr>
          <w:rFonts w:ascii="Times New Roman" w:hAnsi="Times New Roman" w:cs="Times New Roman"/>
          <w:i/>
          <w:iCs/>
        </w:rPr>
        <w:t>T. viride</w:t>
      </w:r>
      <w:r w:rsidRPr="00AA119B">
        <w:rPr>
          <w:rFonts w:ascii="Times New Roman" w:hAnsi="Times New Roman" w:cs="Times New Roman"/>
        </w:rPr>
        <w:t xml:space="preserve"> was greater in sterilized combs, indicating inhibition by native microbial communities. Laboratory bioassays showed that </w:t>
      </w:r>
      <w:r w:rsidRPr="00AA119B">
        <w:rPr>
          <w:rFonts w:ascii="Times New Roman" w:hAnsi="Times New Roman" w:cs="Times New Roman"/>
          <w:i/>
          <w:iCs/>
        </w:rPr>
        <w:t>Paecilomyces cerevisiae</w:t>
      </w:r>
      <w:r w:rsidRPr="00AA119B">
        <w:rPr>
          <w:rFonts w:ascii="Times New Roman" w:hAnsi="Times New Roman" w:cs="Times New Roman"/>
        </w:rPr>
        <w:t xml:space="preserve"> caused the highest </w:t>
      </w:r>
      <w:r w:rsidRPr="00AA119B">
        <w:rPr>
          <w:rFonts w:ascii="Times New Roman" w:hAnsi="Times New Roman" w:cs="Times New Roman"/>
        </w:rPr>
        <w:lastRenderedPageBreak/>
        <w:t xml:space="preserve">termite worker mortality, followed by </w:t>
      </w:r>
      <w:r w:rsidRPr="00AA119B">
        <w:rPr>
          <w:rFonts w:ascii="Times New Roman" w:hAnsi="Times New Roman" w:cs="Times New Roman"/>
          <w:i/>
          <w:iCs/>
        </w:rPr>
        <w:t>Metarhizium anisopliae</w:t>
      </w:r>
      <w:r w:rsidRPr="00AA119B">
        <w:rPr>
          <w:rFonts w:ascii="Times New Roman" w:hAnsi="Times New Roman" w:cs="Times New Roman"/>
        </w:rPr>
        <w:t>, emphasizing the potential of eco-friendly fungal formulations for sustainable termite management.</w:t>
      </w:r>
    </w:p>
    <w:p w14:paraId="69BA7278" w14:textId="77777777" w:rsidR="003A6758" w:rsidRDefault="003A6758" w:rsidP="00AA119B">
      <w:pPr>
        <w:spacing w:line="360" w:lineRule="auto"/>
        <w:jc w:val="both"/>
        <w:rPr>
          <w:rFonts w:ascii="Times New Roman" w:hAnsi="Times New Roman" w:cs="Times New Roman"/>
        </w:rPr>
      </w:pPr>
    </w:p>
    <w:p w14:paraId="5A9ABBD4" w14:textId="7B501756" w:rsidR="003A6758" w:rsidRDefault="003A6758" w:rsidP="00AA119B">
      <w:pPr>
        <w:spacing w:line="360" w:lineRule="auto"/>
        <w:jc w:val="both"/>
        <w:rPr>
          <w:rFonts w:ascii="Times New Roman" w:hAnsi="Times New Roman" w:cs="Times New Roman"/>
          <w:b/>
          <w:bCs/>
          <w:sz w:val="28"/>
          <w:szCs w:val="28"/>
        </w:rPr>
      </w:pPr>
      <w:r w:rsidRPr="003A6758">
        <w:rPr>
          <w:rFonts w:ascii="Times New Roman" w:hAnsi="Times New Roman" w:cs="Times New Roman"/>
          <w:b/>
          <w:bCs/>
          <w:sz w:val="28"/>
          <w:szCs w:val="28"/>
        </w:rPr>
        <w:t xml:space="preserve">Selected </w:t>
      </w:r>
      <w:r>
        <w:rPr>
          <w:rFonts w:ascii="Times New Roman" w:hAnsi="Times New Roman" w:cs="Times New Roman"/>
          <w:b/>
          <w:bCs/>
          <w:sz w:val="28"/>
          <w:szCs w:val="28"/>
        </w:rPr>
        <w:t>R</w:t>
      </w:r>
      <w:r w:rsidRPr="003A6758">
        <w:rPr>
          <w:rFonts w:ascii="Times New Roman" w:hAnsi="Times New Roman" w:cs="Times New Roman"/>
          <w:b/>
          <w:bCs/>
          <w:sz w:val="28"/>
          <w:szCs w:val="28"/>
        </w:rPr>
        <w:t>eferences</w:t>
      </w:r>
    </w:p>
    <w:p w14:paraId="5A6A35F8" w14:textId="5DD1FA1F" w:rsidR="00D87B40" w:rsidRPr="00D87B40" w:rsidRDefault="00D87B40" w:rsidP="00D87B40">
      <w:pPr>
        <w:pStyle w:val="ListParagraph"/>
        <w:numPr>
          <w:ilvl w:val="0"/>
          <w:numId w:val="1"/>
        </w:numPr>
        <w:autoSpaceDE w:val="0"/>
        <w:autoSpaceDN w:val="0"/>
        <w:spacing w:line="360" w:lineRule="auto"/>
        <w:jc w:val="both"/>
        <w:rPr>
          <w:rFonts w:ascii="Times New Roman" w:eastAsia="Times New Roman" w:hAnsi="Times New Roman" w:cs="Times New Roman"/>
        </w:rPr>
      </w:pPr>
      <w:r w:rsidRPr="00D87B40">
        <w:rPr>
          <w:rFonts w:ascii="Times New Roman" w:eastAsia="Times New Roman" w:hAnsi="Times New Roman" w:cs="Times New Roman"/>
        </w:rPr>
        <w:t xml:space="preserve">Egan, B., Nethavhani, Z., and van Asch, B. (2021). Overview of the genetic diversity of african macrotermes (Termitidae: Macrotermitinae) and implications for taxonomy, ecology and food science. </w:t>
      </w:r>
      <w:r w:rsidRPr="00D87B40">
        <w:rPr>
          <w:rFonts w:ascii="Times New Roman" w:eastAsia="Times New Roman" w:hAnsi="Times New Roman" w:cs="Times New Roman"/>
          <w:i/>
          <w:iCs/>
        </w:rPr>
        <w:t>Insects</w:t>
      </w:r>
      <w:r w:rsidRPr="00D87B40">
        <w:rPr>
          <w:rFonts w:ascii="Times New Roman" w:eastAsia="Times New Roman" w:hAnsi="Times New Roman" w:cs="Times New Roman"/>
        </w:rPr>
        <w:t xml:space="preserve">, </w:t>
      </w:r>
      <w:r w:rsidRPr="00D87B40">
        <w:rPr>
          <w:rFonts w:ascii="Times New Roman" w:eastAsia="Times New Roman" w:hAnsi="Times New Roman" w:cs="Times New Roman"/>
          <w:i/>
          <w:iCs/>
        </w:rPr>
        <w:t>12</w:t>
      </w:r>
      <w:r w:rsidRPr="00D87B40">
        <w:rPr>
          <w:rFonts w:ascii="Times New Roman" w:eastAsia="Times New Roman" w:hAnsi="Times New Roman" w:cs="Times New Roman"/>
        </w:rPr>
        <w:t>(6). https://doi.org/10.3390/insects12060518</w:t>
      </w:r>
    </w:p>
    <w:p w14:paraId="4D1B7E57" w14:textId="77777777" w:rsidR="003A6758" w:rsidRPr="003A6758" w:rsidRDefault="003A6758" w:rsidP="00D87B40">
      <w:pPr>
        <w:numPr>
          <w:ilvl w:val="0"/>
          <w:numId w:val="1"/>
        </w:numPr>
        <w:spacing w:line="360" w:lineRule="auto"/>
        <w:jc w:val="both"/>
        <w:rPr>
          <w:rFonts w:ascii="Times New Roman" w:hAnsi="Times New Roman" w:cs="Times New Roman"/>
        </w:rPr>
      </w:pPr>
      <w:r w:rsidRPr="003A6758">
        <w:rPr>
          <w:rFonts w:ascii="Times New Roman" w:hAnsi="Times New Roman" w:cs="Times New Roman"/>
        </w:rPr>
        <w:t>Lewis, V. R. (2016). Alternative control strategies for termites. https://www.researchgate.net/publication/285719450</w:t>
      </w:r>
    </w:p>
    <w:p w14:paraId="32CAA207" w14:textId="77777777" w:rsidR="003A6758" w:rsidRPr="003A6758" w:rsidRDefault="003A6758" w:rsidP="002D1B24">
      <w:pPr>
        <w:numPr>
          <w:ilvl w:val="0"/>
          <w:numId w:val="1"/>
        </w:numPr>
        <w:spacing w:line="360" w:lineRule="auto"/>
        <w:jc w:val="both"/>
        <w:rPr>
          <w:rFonts w:ascii="Times New Roman" w:hAnsi="Times New Roman" w:cs="Times New Roman"/>
        </w:rPr>
      </w:pPr>
      <w:r w:rsidRPr="003A6758">
        <w:rPr>
          <w:rFonts w:ascii="Times New Roman" w:hAnsi="Times New Roman" w:cs="Times New Roman"/>
        </w:rPr>
        <w:t>Manzoor, F., &amp; Mir, N. (2010). Survey of Termite Infested Houses, Indigenous Building Materials and Construction Techniques in Pakistan. In Article in Pakistan Journal of Zoology (Vol. 42, Issue 6). https://www.researchgate.net/publication/259562714</w:t>
      </w:r>
    </w:p>
    <w:p w14:paraId="22B6C747" w14:textId="77777777" w:rsidR="003A6758" w:rsidRPr="003A6758" w:rsidRDefault="003A6758" w:rsidP="002D1B24">
      <w:pPr>
        <w:numPr>
          <w:ilvl w:val="0"/>
          <w:numId w:val="1"/>
        </w:numPr>
        <w:spacing w:line="360" w:lineRule="auto"/>
        <w:jc w:val="both"/>
        <w:rPr>
          <w:rFonts w:ascii="Times New Roman" w:hAnsi="Times New Roman" w:cs="Times New Roman"/>
        </w:rPr>
      </w:pPr>
      <w:r w:rsidRPr="003A6758">
        <w:rPr>
          <w:rFonts w:ascii="Times New Roman" w:hAnsi="Times New Roman" w:cs="Times New Roman"/>
        </w:rPr>
        <w:t xml:space="preserve">Mathew, G. M., Ju, Y. M., Lai, C. Y., Mathew, D. C., &amp; Huang, C. C. (2012). Microbial </w:t>
      </w:r>
      <w:r w:rsidRPr="003A6758">
        <w:rPr>
          <w:rFonts w:ascii="Times New Roman" w:hAnsi="Times New Roman" w:cs="Times New Roman"/>
          <w:i/>
          <w:iCs/>
        </w:rPr>
        <w:t xml:space="preserve">community analysis in the termite gut and fungus comb of </w:t>
      </w:r>
      <w:r w:rsidRPr="003A6758">
        <w:rPr>
          <w:rFonts w:ascii="Times New Roman" w:hAnsi="Times New Roman" w:cs="Times New Roman"/>
        </w:rPr>
        <w:t xml:space="preserve">Odontotermes formosanus: The implication of Bacillus as mutualists. FEMS Microbiology Ecology, 79(2), 504–517. </w:t>
      </w:r>
    </w:p>
    <w:p w14:paraId="5907B560" w14:textId="77777777" w:rsidR="003A6758" w:rsidRDefault="003A6758" w:rsidP="002D1B24">
      <w:pPr>
        <w:numPr>
          <w:ilvl w:val="0"/>
          <w:numId w:val="1"/>
        </w:numPr>
        <w:spacing w:line="360" w:lineRule="auto"/>
        <w:jc w:val="both"/>
        <w:rPr>
          <w:rFonts w:ascii="Times New Roman" w:hAnsi="Times New Roman" w:cs="Times New Roman"/>
        </w:rPr>
      </w:pPr>
      <w:r w:rsidRPr="003A6758">
        <w:rPr>
          <w:rFonts w:ascii="Times New Roman" w:hAnsi="Times New Roman" w:cs="Times New Roman"/>
        </w:rPr>
        <w:t xml:space="preserve">Pervez, A. (2018). Termite Biology and Social Behaviour. In </w:t>
      </w:r>
      <w:r w:rsidRPr="003A6758">
        <w:rPr>
          <w:rFonts w:ascii="Times New Roman" w:hAnsi="Times New Roman" w:cs="Times New Roman"/>
          <w:i/>
          <w:iCs/>
        </w:rPr>
        <w:t>Termites and Sustainable Management</w:t>
      </w:r>
      <w:r w:rsidRPr="003A6758">
        <w:rPr>
          <w:rFonts w:ascii="Times New Roman" w:hAnsi="Times New Roman" w:cs="Times New Roman"/>
        </w:rPr>
        <w:t xml:space="preserve"> (pp. 119–143). Springer International Publishing. https://doi.org/10.1007/978-3-319-72110-1_6</w:t>
      </w:r>
    </w:p>
    <w:p w14:paraId="5CBA5B65" w14:textId="24ABFD76" w:rsidR="002D1B24" w:rsidRDefault="002D1B24" w:rsidP="002D1B24">
      <w:pPr>
        <w:pStyle w:val="ListParagraph"/>
        <w:numPr>
          <w:ilvl w:val="0"/>
          <w:numId w:val="1"/>
        </w:numPr>
        <w:autoSpaceDE w:val="0"/>
        <w:autoSpaceDN w:val="0"/>
        <w:spacing w:line="360" w:lineRule="auto"/>
        <w:jc w:val="both"/>
        <w:rPr>
          <w:rFonts w:ascii="Times New Roman" w:eastAsia="Times New Roman" w:hAnsi="Times New Roman" w:cs="Times New Roman"/>
        </w:rPr>
      </w:pPr>
      <w:r w:rsidRPr="002D1B24">
        <w:rPr>
          <w:rFonts w:ascii="Times New Roman" w:eastAsia="Times New Roman" w:hAnsi="Times New Roman" w:cs="Times New Roman"/>
        </w:rPr>
        <w:t xml:space="preserve">Van de Peppel, L., De Beer, W., Koné, N., &amp; Aanen, D. (2024). Species and Speciation in the Termite-Cultivated Fungus Termitomyces. </w:t>
      </w:r>
      <w:r w:rsidRPr="002D1B24">
        <w:rPr>
          <w:rFonts w:ascii="Times New Roman" w:eastAsia="Times New Roman" w:hAnsi="Times New Roman" w:cs="Times New Roman"/>
          <w:i/>
          <w:iCs/>
        </w:rPr>
        <w:t>Bulletin of the Society of Systematic Biologists</w:t>
      </w:r>
      <w:r w:rsidRPr="002D1B24">
        <w:rPr>
          <w:rFonts w:ascii="Times New Roman" w:eastAsia="Times New Roman" w:hAnsi="Times New Roman" w:cs="Times New Roman"/>
        </w:rPr>
        <w:t xml:space="preserve">, </w:t>
      </w:r>
      <w:r w:rsidRPr="002D1B24">
        <w:rPr>
          <w:rFonts w:ascii="Times New Roman" w:eastAsia="Times New Roman" w:hAnsi="Times New Roman" w:cs="Times New Roman"/>
          <w:i/>
          <w:iCs/>
        </w:rPr>
        <w:t>3</w:t>
      </w:r>
      <w:r w:rsidRPr="002D1B24">
        <w:rPr>
          <w:rFonts w:ascii="Times New Roman" w:eastAsia="Times New Roman" w:hAnsi="Times New Roman" w:cs="Times New Roman"/>
        </w:rPr>
        <w:t>(2). https://doi.org/10.18061/bssb.v3i2.9345</w:t>
      </w:r>
    </w:p>
    <w:p w14:paraId="01D825BF" w14:textId="77777777" w:rsidR="002D1B24" w:rsidRPr="002D1B24" w:rsidRDefault="002D1B24" w:rsidP="002D1B24">
      <w:pPr>
        <w:pStyle w:val="ListParagraph"/>
        <w:autoSpaceDE w:val="0"/>
        <w:autoSpaceDN w:val="0"/>
        <w:spacing w:line="360" w:lineRule="auto"/>
        <w:jc w:val="both"/>
        <w:rPr>
          <w:rFonts w:ascii="Times New Roman" w:eastAsia="Times New Roman" w:hAnsi="Times New Roman" w:cs="Times New Roman"/>
        </w:rPr>
      </w:pPr>
    </w:p>
    <w:p w14:paraId="2D00EB47" w14:textId="77777777" w:rsidR="002D1B24" w:rsidRPr="002D1B24" w:rsidRDefault="002D1B24" w:rsidP="002D1B24">
      <w:pPr>
        <w:pStyle w:val="ListParagraph"/>
        <w:numPr>
          <w:ilvl w:val="0"/>
          <w:numId w:val="1"/>
        </w:numPr>
        <w:autoSpaceDE w:val="0"/>
        <w:autoSpaceDN w:val="0"/>
        <w:spacing w:line="360" w:lineRule="auto"/>
        <w:jc w:val="both"/>
        <w:rPr>
          <w:rFonts w:ascii="Times New Roman" w:eastAsia="Times New Roman" w:hAnsi="Times New Roman" w:cs="Times New Roman"/>
        </w:rPr>
      </w:pPr>
      <w:r w:rsidRPr="002D1B24">
        <w:rPr>
          <w:rFonts w:ascii="Times New Roman" w:eastAsia="Times New Roman" w:hAnsi="Times New Roman" w:cs="Times New Roman"/>
        </w:rPr>
        <w:t xml:space="preserve">Zachariah, N., Singh, S., Murthy, T. G., &amp; Borges, R. M. (2020). Bi-layered architecture facilitates high strength and ventilation in nest mounds of fungus-farming termites. </w:t>
      </w:r>
      <w:r w:rsidRPr="002D1B24">
        <w:rPr>
          <w:rFonts w:ascii="Times New Roman" w:eastAsia="Times New Roman" w:hAnsi="Times New Roman" w:cs="Times New Roman"/>
          <w:i/>
          <w:iCs/>
        </w:rPr>
        <w:t>Scientific Reports</w:t>
      </w:r>
      <w:r w:rsidRPr="002D1B24">
        <w:rPr>
          <w:rFonts w:ascii="Times New Roman" w:eastAsia="Times New Roman" w:hAnsi="Times New Roman" w:cs="Times New Roman"/>
        </w:rPr>
        <w:t xml:space="preserve">, </w:t>
      </w:r>
      <w:r w:rsidRPr="002D1B24">
        <w:rPr>
          <w:rFonts w:ascii="Times New Roman" w:eastAsia="Times New Roman" w:hAnsi="Times New Roman" w:cs="Times New Roman"/>
          <w:i/>
          <w:iCs/>
        </w:rPr>
        <w:t>10</w:t>
      </w:r>
      <w:r w:rsidRPr="002D1B24">
        <w:rPr>
          <w:rFonts w:ascii="Times New Roman" w:eastAsia="Times New Roman" w:hAnsi="Times New Roman" w:cs="Times New Roman"/>
        </w:rPr>
        <w:t>(1). https://doi.org/10.1038/s41598-020-70058-2</w:t>
      </w:r>
    </w:p>
    <w:p w14:paraId="0FCE1E2C" w14:textId="77777777" w:rsidR="003A6758" w:rsidRPr="003A6758" w:rsidRDefault="003A6758" w:rsidP="002D1B24">
      <w:pPr>
        <w:spacing w:line="360" w:lineRule="auto"/>
        <w:ind w:left="720"/>
        <w:jc w:val="both"/>
        <w:rPr>
          <w:rFonts w:ascii="Times New Roman" w:hAnsi="Times New Roman" w:cs="Times New Roman"/>
        </w:rPr>
      </w:pPr>
    </w:p>
    <w:p w14:paraId="687BBCEB" w14:textId="77777777" w:rsidR="003A6758" w:rsidRPr="003A6758" w:rsidRDefault="003A6758" w:rsidP="00AA119B">
      <w:pPr>
        <w:spacing w:line="360" w:lineRule="auto"/>
        <w:jc w:val="both"/>
        <w:rPr>
          <w:rFonts w:ascii="Times New Roman" w:hAnsi="Times New Roman" w:cs="Times New Roman"/>
          <w:sz w:val="28"/>
          <w:szCs w:val="28"/>
        </w:rPr>
      </w:pPr>
    </w:p>
    <w:sectPr w:rsidR="003A6758" w:rsidRPr="003A6758" w:rsidSect="00AA119B">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82480" w14:textId="77777777" w:rsidR="003905EE" w:rsidRDefault="003905EE" w:rsidP="00294A6C">
      <w:pPr>
        <w:spacing w:after="0" w:line="240" w:lineRule="auto"/>
      </w:pPr>
      <w:r>
        <w:separator/>
      </w:r>
    </w:p>
  </w:endnote>
  <w:endnote w:type="continuationSeparator" w:id="0">
    <w:p w14:paraId="080119D9" w14:textId="77777777" w:rsidR="003905EE" w:rsidRDefault="003905EE" w:rsidP="00294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07392" w14:textId="77777777" w:rsidR="003905EE" w:rsidRDefault="003905EE" w:rsidP="00294A6C">
      <w:pPr>
        <w:spacing w:after="0" w:line="240" w:lineRule="auto"/>
      </w:pPr>
      <w:r>
        <w:separator/>
      </w:r>
    </w:p>
  </w:footnote>
  <w:footnote w:type="continuationSeparator" w:id="0">
    <w:p w14:paraId="5523C1A0" w14:textId="77777777" w:rsidR="003905EE" w:rsidRDefault="003905EE" w:rsidP="00294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F00E2"/>
    <w:multiLevelType w:val="hybridMultilevel"/>
    <w:tmpl w:val="47E4504A"/>
    <w:lvl w:ilvl="0" w:tplc="1C5433AC">
      <w:start w:val="1"/>
      <w:numFmt w:val="bullet"/>
      <w:lvlText w:val="•"/>
      <w:lvlJc w:val="left"/>
      <w:pPr>
        <w:tabs>
          <w:tab w:val="num" w:pos="720"/>
        </w:tabs>
        <w:ind w:left="720" w:hanging="360"/>
      </w:pPr>
      <w:rPr>
        <w:rFonts w:ascii="Arial" w:hAnsi="Arial" w:hint="default"/>
      </w:rPr>
    </w:lvl>
    <w:lvl w:ilvl="1" w:tplc="CBBEE642" w:tentative="1">
      <w:start w:val="1"/>
      <w:numFmt w:val="bullet"/>
      <w:lvlText w:val="•"/>
      <w:lvlJc w:val="left"/>
      <w:pPr>
        <w:tabs>
          <w:tab w:val="num" w:pos="1440"/>
        </w:tabs>
        <w:ind w:left="1440" w:hanging="360"/>
      </w:pPr>
      <w:rPr>
        <w:rFonts w:ascii="Arial" w:hAnsi="Arial" w:hint="default"/>
      </w:rPr>
    </w:lvl>
    <w:lvl w:ilvl="2" w:tplc="FDD0A520" w:tentative="1">
      <w:start w:val="1"/>
      <w:numFmt w:val="bullet"/>
      <w:lvlText w:val="•"/>
      <w:lvlJc w:val="left"/>
      <w:pPr>
        <w:tabs>
          <w:tab w:val="num" w:pos="2160"/>
        </w:tabs>
        <w:ind w:left="2160" w:hanging="360"/>
      </w:pPr>
      <w:rPr>
        <w:rFonts w:ascii="Arial" w:hAnsi="Arial" w:hint="default"/>
      </w:rPr>
    </w:lvl>
    <w:lvl w:ilvl="3" w:tplc="2CB0CC4C" w:tentative="1">
      <w:start w:val="1"/>
      <w:numFmt w:val="bullet"/>
      <w:lvlText w:val="•"/>
      <w:lvlJc w:val="left"/>
      <w:pPr>
        <w:tabs>
          <w:tab w:val="num" w:pos="2880"/>
        </w:tabs>
        <w:ind w:left="2880" w:hanging="360"/>
      </w:pPr>
      <w:rPr>
        <w:rFonts w:ascii="Arial" w:hAnsi="Arial" w:hint="default"/>
      </w:rPr>
    </w:lvl>
    <w:lvl w:ilvl="4" w:tplc="20941DB4" w:tentative="1">
      <w:start w:val="1"/>
      <w:numFmt w:val="bullet"/>
      <w:lvlText w:val="•"/>
      <w:lvlJc w:val="left"/>
      <w:pPr>
        <w:tabs>
          <w:tab w:val="num" w:pos="3600"/>
        </w:tabs>
        <w:ind w:left="3600" w:hanging="360"/>
      </w:pPr>
      <w:rPr>
        <w:rFonts w:ascii="Arial" w:hAnsi="Arial" w:hint="default"/>
      </w:rPr>
    </w:lvl>
    <w:lvl w:ilvl="5" w:tplc="C35C2CF8" w:tentative="1">
      <w:start w:val="1"/>
      <w:numFmt w:val="bullet"/>
      <w:lvlText w:val="•"/>
      <w:lvlJc w:val="left"/>
      <w:pPr>
        <w:tabs>
          <w:tab w:val="num" w:pos="4320"/>
        </w:tabs>
        <w:ind w:left="4320" w:hanging="360"/>
      </w:pPr>
      <w:rPr>
        <w:rFonts w:ascii="Arial" w:hAnsi="Arial" w:hint="default"/>
      </w:rPr>
    </w:lvl>
    <w:lvl w:ilvl="6" w:tplc="870E9E1E" w:tentative="1">
      <w:start w:val="1"/>
      <w:numFmt w:val="bullet"/>
      <w:lvlText w:val="•"/>
      <w:lvlJc w:val="left"/>
      <w:pPr>
        <w:tabs>
          <w:tab w:val="num" w:pos="5040"/>
        </w:tabs>
        <w:ind w:left="5040" w:hanging="360"/>
      </w:pPr>
      <w:rPr>
        <w:rFonts w:ascii="Arial" w:hAnsi="Arial" w:hint="default"/>
      </w:rPr>
    </w:lvl>
    <w:lvl w:ilvl="7" w:tplc="56684CCA" w:tentative="1">
      <w:start w:val="1"/>
      <w:numFmt w:val="bullet"/>
      <w:lvlText w:val="•"/>
      <w:lvlJc w:val="left"/>
      <w:pPr>
        <w:tabs>
          <w:tab w:val="num" w:pos="5760"/>
        </w:tabs>
        <w:ind w:left="5760" w:hanging="360"/>
      </w:pPr>
      <w:rPr>
        <w:rFonts w:ascii="Arial" w:hAnsi="Arial" w:hint="default"/>
      </w:rPr>
    </w:lvl>
    <w:lvl w:ilvl="8" w:tplc="5BB6B3CE" w:tentative="1">
      <w:start w:val="1"/>
      <w:numFmt w:val="bullet"/>
      <w:lvlText w:val="•"/>
      <w:lvlJc w:val="left"/>
      <w:pPr>
        <w:tabs>
          <w:tab w:val="num" w:pos="6480"/>
        </w:tabs>
        <w:ind w:left="6480" w:hanging="360"/>
      </w:pPr>
      <w:rPr>
        <w:rFonts w:ascii="Arial" w:hAnsi="Arial" w:hint="default"/>
      </w:rPr>
    </w:lvl>
  </w:abstractNum>
  <w:num w:numId="1" w16cid:durableId="1252855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A9A"/>
    <w:rsid w:val="00021782"/>
    <w:rsid w:val="00084D19"/>
    <w:rsid w:val="000D412F"/>
    <w:rsid w:val="001336E4"/>
    <w:rsid w:val="00294A6C"/>
    <w:rsid w:val="002D1B24"/>
    <w:rsid w:val="002F4079"/>
    <w:rsid w:val="003062F6"/>
    <w:rsid w:val="00346C90"/>
    <w:rsid w:val="003905EE"/>
    <w:rsid w:val="003A6758"/>
    <w:rsid w:val="00430A9A"/>
    <w:rsid w:val="004A0B71"/>
    <w:rsid w:val="00506E82"/>
    <w:rsid w:val="00564EEE"/>
    <w:rsid w:val="00567661"/>
    <w:rsid w:val="00590BD9"/>
    <w:rsid w:val="00644675"/>
    <w:rsid w:val="00685F93"/>
    <w:rsid w:val="006B46A4"/>
    <w:rsid w:val="00822E0E"/>
    <w:rsid w:val="00845E65"/>
    <w:rsid w:val="00912F9B"/>
    <w:rsid w:val="009A45F0"/>
    <w:rsid w:val="00A96214"/>
    <w:rsid w:val="00AA119B"/>
    <w:rsid w:val="00B7039E"/>
    <w:rsid w:val="00BD72DD"/>
    <w:rsid w:val="00C62B74"/>
    <w:rsid w:val="00C73FFD"/>
    <w:rsid w:val="00D02B11"/>
    <w:rsid w:val="00D10744"/>
    <w:rsid w:val="00D1332A"/>
    <w:rsid w:val="00D7537E"/>
    <w:rsid w:val="00D87B40"/>
    <w:rsid w:val="00E317AA"/>
    <w:rsid w:val="00E44A61"/>
    <w:rsid w:val="00E560F6"/>
    <w:rsid w:val="00E92AB0"/>
    <w:rsid w:val="00ED3B5A"/>
    <w:rsid w:val="00F718BA"/>
    <w:rsid w:val="00FA5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26DF5"/>
  <w15:chartTrackingRefBased/>
  <w15:docId w15:val="{0CFF742C-2439-40BF-B6AA-61651717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A9A"/>
  </w:style>
  <w:style w:type="paragraph" w:styleId="Heading1">
    <w:name w:val="heading 1"/>
    <w:basedOn w:val="Normal"/>
    <w:next w:val="Normal"/>
    <w:link w:val="Heading1Char"/>
    <w:uiPriority w:val="9"/>
    <w:qFormat/>
    <w:rsid w:val="00430A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0A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0A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0A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0A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0A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0A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0A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0A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A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0A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0A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0A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0A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0A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0A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0A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0A9A"/>
    <w:rPr>
      <w:rFonts w:eastAsiaTheme="majorEastAsia" w:cstheme="majorBidi"/>
      <w:color w:val="272727" w:themeColor="text1" w:themeTint="D8"/>
    </w:rPr>
  </w:style>
  <w:style w:type="paragraph" w:styleId="Title">
    <w:name w:val="Title"/>
    <w:basedOn w:val="Normal"/>
    <w:next w:val="Normal"/>
    <w:link w:val="TitleChar"/>
    <w:uiPriority w:val="10"/>
    <w:qFormat/>
    <w:rsid w:val="00430A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0A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0A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0A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0A9A"/>
    <w:pPr>
      <w:spacing w:before="160"/>
      <w:jc w:val="center"/>
    </w:pPr>
    <w:rPr>
      <w:i/>
      <w:iCs/>
      <w:color w:val="404040" w:themeColor="text1" w:themeTint="BF"/>
    </w:rPr>
  </w:style>
  <w:style w:type="character" w:customStyle="1" w:styleId="QuoteChar">
    <w:name w:val="Quote Char"/>
    <w:basedOn w:val="DefaultParagraphFont"/>
    <w:link w:val="Quote"/>
    <w:uiPriority w:val="29"/>
    <w:rsid w:val="00430A9A"/>
    <w:rPr>
      <w:i/>
      <w:iCs/>
      <w:color w:val="404040" w:themeColor="text1" w:themeTint="BF"/>
    </w:rPr>
  </w:style>
  <w:style w:type="paragraph" w:styleId="ListParagraph">
    <w:name w:val="List Paragraph"/>
    <w:basedOn w:val="Normal"/>
    <w:uiPriority w:val="34"/>
    <w:qFormat/>
    <w:rsid w:val="00430A9A"/>
    <w:pPr>
      <w:ind w:left="720"/>
      <w:contextualSpacing/>
    </w:pPr>
  </w:style>
  <w:style w:type="character" w:styleId="IntenseEmphasis">
    <w:name w:val="Intense Emphasis"/>
    <w:basedOn w:val="DefaultParagraphFont"/>
    <w:uiPriority w:val="21"/>
    <w:qFormat/>
    <w:rsid w:val="00430A9A"/>
    <w:rPr>
      <w:i/>
      <w:iCs/>
      <w:color w:val="0F4761" w:themeColor="accent1" w:themeShade="BF"/>
    </w:rPr>
  </w:style>
  <w:style w:type="paragraph" w:styleId="IntenseQuote">
    <w:name w:val="Intense Quote"/>
    <w:basedOn w:val="Normal"/>
    <w:next w:val="Normal"/>
    <w:link w:val="IntenseQuoteChar"/>
    <w:uiPriority w:val="30"/>
    <w:qFormat/>
    <w:rsid w:val="00430A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0A9A"/>
    <w:rPr>
      <w:i/>
      <w:iCs/>
      <w:color w:val="0F4761" w:themeColor="accent1" w:themeShade="BF"/>
    </w:rPr>
  </w:style>
  <w:style w:type="character" w:styleId="IntenseReference">
    <w:name w:val="Intense Reference"/>
    <w:basedOn w:val="DefaultParagraphFont"/>
    <w:uiPriority w:val="32"/>
    <w:qFormat/>
    <w:rsid w:val="00430A9A"/>
    <w:rPr>
      <w:b/>
      <w:bCs/>
      <w:smallCaps/>
      <w:color w:val="0F4761" w:themeColor="accent1" w:themeShade="BF"/>
      <w:spacing w:val="5"/>
    </w:rPr>
  </w:style>
  <w:style w:type="character" w:styleId="Hyperlink">
    <w:name w:val="Hyperlink"/>
    <w:basedOn w:val="DefaultParagraphFont"/>
    <w:uiPriority w:val="99"/>
    <w:unhideWhenUsed/>
    <w:rsid w:val="00430A9A"/>
    <w:rPr>
      <w:color w:val="467886" w:themeColor="hyperlink"/>
      <w:u w:val="single"/>
    </w:rPr>
  </w:style>
  <w:style w:type="table" w:styleId="TableGrid">
    <w:name w:val="Table Grid"/>
    <w:basedOn w:val="TableNormal"/>
    <w:uiPriority w:val="39"/>
    <w:rsid w:val="00ED3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12F9B"/>
    <w:pPr>
      <w:spacing w:after="200" w:line="240" w:lineRule="auto"/>
    </w:pPr>
    <w:rPr>
      <w:i/>
      <w:iCs/>
      <w:color w:val="0E2841" w:themeColor="text2"/>
      <w:sz w:val="18"/>
      <w:szCs w:val="18"/>
    </w:rPr>
  </w:style>
  <w:style w:type="paragraph" w:styleId="Header">
    <w:name w:val="header"/>
    <w:basedOn w:val="Normal"/>
    <w:link w:val="HeaderChar"/>
    <w:uiPriority w:val="99"/>
    <w:unhideWhenUsed/>
    <w:rsid w:val="00294A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A6C"/>
  </w:style>
  <w:style w:type="paragraph" w:styleId="Footer">
    <w:name w:val="footer"/>
    <w:basedOn w:val="Normal"/>
    <w:link w:val="FooterChar"/>
    <w:uiPriority w:val="99"/>
    <w:unhideWhenUsed/>
    <w:rsid w:val="00294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A6C"/>
  </w:style>
  <w:style w:type="character" w:styleId="UnresolvedMention">
    <w:name w:val="Unresolved Mention"/>
    <w:basedOn w:val="DefaultParagraphFont"/>
    <w:uiPriority w:val="99"/>
    <w:semiHidden/>
    <w:unhideWhenUsed/>
    <w:rsid w:val="002D1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hyperlink" Target="mailto:ttharsi66@gmail.com"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latin typeface="Times New Roman" panose="02020603050405020304" pitchFamily="18" charset="0"/>
                <a:cs typeface="Times New Roman" panose="02020603050405020304" pitchFamily="18" charset="0"/>
              </a:rPr>
              <a:t>Combined Effect of Substrate pH on Spore Count of </a:t>
            </a:r>
            <a:r>
              <a:rPr lang="en-US" sz="1200" b="1" i="1" u="none" strike="noStrike" baseline="0">
                <a:latin typeface="Times New Roman" panose="02020603050405020304" pitchFamily="18" charset="0"/>
                <a:cs typeface="Times New Roman" panose="02020603050405020304" pitchFamily="18" charset="0"/>
              </a:rPr>
              <a:t>Trichoderma viride </a:t>
            </a:r>
            <a:r>
              <a:rPr lang="en-US" sz="1200" b="1" i="0" u="none" strike="noStrike" baseline="0">
                <a:latin typeface="Times New Roman" panose="02020603050405020304" pitchFamily="18" charset="0"/>
                <a:cs typeface="Times New Roman" panose="02020603050405020304" pitchFamily="18" charset="0"/>
              </a:rPr>
              <a:t>after 14 Days</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1255541880533138"/>
          <c:y val="1.65809981760902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'spores per g'!$B$17</c:f>
              <c:strCache>
                <c:ptCount val="1"/>
                <c:pt idx="0">
                  <c:v>mean value × </c:v>
                </c:pt>
              </c:strCache>
            </c:strRef>
          </c:tx>
          <c:spPr>
            <a:solidFill>
              <a:schemeClr val="accent1"/>
            </a:solidFill>
            <a:ln>
              <a:noFill/>
            </a:ln>
            <a:effectLst/>
          </c:spPr>
          <c:invertIfNegative val="0"/>
          <c:cat>
            <c:strRef>
              <c:f>'spores per g'!$A$18:$A$28</c:f>
              <c:strCache>
                <c:ptCount val="11"/>
                <c:pt idx="0">
                  <c:v>Tamarind seed + fenugreek</c:v>
                </c:pt>
                <c:pt idx="1">
                  <c:v>Coconut scraping + fenugreek</c:v>
                </c:pt>
                <c:pt idx="2">
                  <c:v>Fenugreek</c:v>
                </c:pt>
                <c:pt idx="3">
                  <c:v>Groundnut shell + fenugreek</c:v>
                </c:pt>
                <c:pt idx="4">
                  <c:v>Mushroom substrate + fenugreek</c:v>
                </c:pt>
                <c:pt idx="5">
                  <c:v>Tamarind seed + PDA</c:v>
                </c:pt>
                <c:pt idx="6">
                  <c:v>Tamarind seed + Vermicompost</c:v>
                </c:pt>
                <c:pt idx="7">
                  <c:v>Vermicompost</c:v>
                </c:pt>
                <c:pt idx="8">
                  <c:v>Paddy straw + Fenugreek</c:v>
                </c:pt>
                <c:pt idx="9">
                  <c:v>Tamarind pulp</c:v>
                </c:pt>
                <c:pt idx="10">
                  <c:v>Soyameat</c:v>
                </c:pt>
              </c:strCache>
            </c:strRef>
          </c:cat>
          <c:val>
            <c:numRef>
              <c:f>'spores per g'!$B$18:$B$28</c:f>
              <c:numCache>
                <c:formatCode>General</c:formatCode>
                <c:ptCount val="11"/>
                <c:pt idx="0">
                  <c:v>6.2366666666666672</c:v>
                </c:pt>
                <c:pt idx="1">
                  <c:v>3.92</c:v>
                </c:pt>
                <c:pt idx="2">
                  <c:v>3.6266666666666665</c:v>
                </c:pt>
                <c:pt idx="3">
                  <c:v>2.5566666666666666</c:v>
                </c:pt>
                <c:pt idx="4">
                  <c:v>2.1533333333333338</c:v>
                </c:pt>
                <c:pt idx="5">
                  <c:v>1.9233333333333336</c:v>
                </c:pt>
                <c:pt idx="6">
                  <c:v>0</c:v>
                </c:pt>
                <c:pt idx="7">
                  <c:v>0</c:v>
                </c:pt>
                <c:pt idx="8">
                  <c:v>0</c:v>
                </c:pt>
                <c:pt idx="9">
                  <c:v>0</c:v>
                </c:pt>
                <c:pt idx="10">
                  <c:v>0</c:v>
                </c:pt>
              </c:numCache>
            </c:numRef>
          </c:val>
          <c:extLst>
            <c:ext xmlns:c16="http://schemas.microsoft.com/office/drawing/2014/chart" uri="{C3380CC4-5D6E-409C-BE32-E72D297353CC}">
              <c16:uniqueId val="{00000000-16AD-483F-A18C-6E741986DECB}"/>
            </c:ext>
          </c:extLst>
        </c:ser>
        <c:dLbls>
          <c:showLegendKey val="0"/>
          <c:showVal val="0"/>
          <c:showCatName val="0"/>
          <c:showSerName val="0"/>
          <c:showPercent val="0"/>
          <c:showBubbleSize val="0"/>
        </c:dLbls>
        <c:gapWidth val="150"/>
        <c:axId val="109958495"/>
        <c:axId val="109955615"/>
      </c:barChart>
      <c:lineChart>
        <c:grouping val="standard"/>
        <c:varyColors val="0"/>
        <c:ser>
          <c:idx val="1"/>
          <c:order val="1"/>
          <c:tx>
            <c:strRef>
              <c:f>'spores per g'!$C$17</c:f>
              <c:strCache>
                <c:ptCount val="1"/>
                <c:pt idx="0">
                  <c:v>pH</c:v>
                </c:pt>
              </c:strCache>
            </c:strRef>
          </c:tx>
          <c:spPr>
            <a:ln w="28575" cap="rnd">
              <a:solidFill>
                <a:schemeClr val="accent2"/>
              </a:solidFill>
              <a:round/>
            </a:ln>
            <a:effectLst/>
          </c:spPr>
          <c:marker>
            <c:symbol val="none"/>
          </c:marker>
          <c:cat>
            <c:strRef>
              <c:f>'spores per g'!$A$18:$A$28</c:f>
              <c:strCache>
                <c:ptCount val="11"/>
                <c:pt idx="0">
                  <c:v>Tamarind seed + fenugreek</c:v>
                </c:pt>
                <c:pt idx="1">
                  <c:v>Coconut scraping + fenugreek</c:v>
                </c:pt>
                <c:pt idx="2">
                  <c:v>Fenugreek</c:v>
                </c:pt>
                <c:pt idx="3">
                  <c:v>Groundnut shell + fenugreek</c:v>
                </c:pt>
                <c:pt idx="4">
                  <c:v>Mushroom substrate + fenugreek</c:v>
                </c:pt>
                <c:pt idx="5">
                  <c:v>Tamarind seed + PDA</c:v>
                </c:pt>
                <c:pt idx="6">
                  <c:v>Tamarind seed + Vermicompost</c:v>
                </c:pt>
                <c:pt idx="7">
                  <c:v>Vermicompost</c:v>
                </c:pt>
                <c:pt idx="8">
                  <c:v>Paddy straw + Fenugreek</c:v>
                </c:pt>
                <c:pt idx="9">
                  <c:v>Tamarind pulp</c:v>
                </c:pt>
                <c:pt idx="10">
                  <c:v>Soyameat</c:v>
                </c:pt>
              </c:strCache>
            </c:strRef>
          </c:cat>
          <c:val>
            <c:numRef>
              <c:f>'spores per g'!$C$18:$C$28</c:f>
              <c:numCache>
                <c:formatCode>General</c:formatCode>
                <c:ptCount val="11"/>
                <c:pt idx="0">
                  <c:v>5.9</c:v>
                </c:pt>
                <c:pt idx="1">
                  <c:v>6.13</c:v>
                </c:pt>
                <c:pt idx="2">
                  <c:v>6.19</c:v>
                </c:pt>
                <c:pt idx="3">
                  <c:v>5.87</c:v>
                </c:pt>
                <c:pt idx="4">
                  <c:v>6.2</c:v>
                </c:pt>
                <c:pt idx="5">
                  <c:v>5.76</c:v>
                </c:pt>
                <c:pt idx="6">
                  <c:v>7.09</c:v>
                </c:pt>
                <c:pt idx="7">
                  <c:v>8.4600000000000009</c:v>
                </c:pt>
                <c:pt idx="8">
                  <c:v>6.9</c:v>
                </c:pt>
                <c:pt idx="9">
                  <c:v>2.34</c:v>
                </c:pt>
                <c:pt idx="10">
                  <c:v>7.1</c:v>
                </c:pt>
              </c:numCache>
            </c:numRef>
          </c:val>
          <c:smooth val="0"/>
          <c:extLst>
            <c:ext xmlns:c16="http://schemas.microsoft.com/office/drawing/2014/chart" uri="{C3380CC4-5D6E-409C-BE32-E72D297353CC}">
              <c16:uniqueId val="{00000001-16AD-483F-A18C-6E741986DECB}"/>
            </c:ext>
          </c:extLst>
        </c:ser>
        <c:dLbls>
          <c:showLegendKey val="0"/>
          <c:showVal val="0"/>
          <c:showCatName val="0"/>
          <c:showSerName val="0"/>
          <c:showPercent val="0"/>
          <c:showBubbleSize val="0"/>
        </c:dLbls>
        <c:marker val="1"/>
        <c:smooth val="0"/>
        <c:axId val="109956575"/>
        <c:axId val="109959455"/>
      </c:lineChart>
      <c:catAx>
        <c:axId val="109958495"/>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Substrate</a:t>
                </a:r>
                <a:r>
                  <a:rPr lang="en-US" sz="1200" b="1" baseline="0">
                    <a:latin typeface="Times New Roman" panose="02020603050405020304" pitchFamily="18" charset="0"/>
                    <a:cs typeface="Times New Roman" panose="02020603050405020304" pitchFamily="18" charset="0"/>
                  </a:rPr>
                  <a:t> combinations</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62009884477140176"/>
              <c:y val="0.7788919976447149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9955615"/>
        <c:crosses val="autoZero"/>
        <c:auto val="1"/>
        <c:lblAlgn val="ctr"/>
        <c:lblOffset val="100"/>
        <c:noMultiLvlLbl val="0"/>
      </c:catAx>
      <c:valAx>
        <c:axId val="109955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200" b="1" i="0" u="none" strike="noStrike" baseline="0">
                    <a:latin typeface="Times New Roman" panose="02020603050405020304" pitchFamily="18" charset="0"/>
                    <a:cs typeface="Times New Roman" panose="02020603050405020304" pitchFamily="18" charset="0"/>
                  </a:rPr>
                  <a:t>Spore Count (×10⁶ spores/g)</a:t>
                </a:r>
                <a:endParaRPr lang="en-US" sz="1200" b="1">
                  <a:latin typeface="Times New Roman" panose="02020603050405020304" pitchFamily="18" charset="0"/>
                  <a:cs typeface="Times New Roman" panose="02020603050405020304" pitchFamily="18" charset="0"/>
                </a:endParaRPr>
              </a:p>
            </c:rich>
          </c:tx>
          <c:layout>
            <c:manualLayout>
              <c:xMode val="edge"/>
              <c:yMode val="edge"/>
              <c:x val="3.7571327673738837E-2"/>
              <c:y val="0.1048663271261213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58495"/>
        <c:crosses val="autoZero"/>
        <c:crossBetween val="between"/>
      </c:valAx>
      <c:valAx>
        <c:axId val="109959455"/>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pH</a:t>
                </a:r>
                <a:r>
                  <a:rPr lang="en-US" sz="1200" b="1" baseline="0">
                    <a:latin typeface="Times New Roman" panose="02020603050405020304" pitchFamily="18" charset="0"/>
                    <a:cs typeface="Times New Roman" panose="02020603050405020304" pitchFamily="18" charset="0"/>
                  </a:rPr>
                  <a:t> value</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56575"/>
        <c:crosses val="max"/>
        <c:crossBetween val="between"/>
      </c:valAx>
      <c:catAx>
        <c:axId val="109956575"/>
        <c:scaling>
          <c:orientation val="minMax"/>
        </c:scaling>
        <c:delete val="1"/>
        <c:axPos val="b"/>
        <c:numFmt formatCode="General" sourceLinked="1"/>
        <c:majorTickMark val="none"/>
        <c:minorTickMark val="none"/>
        <c:tickLblPos val="nextTo"/>
        <c:crossAx val="109959455"/>
        <c:crosses val="autoZero"/>
        <c:auto val="1"/>
        <c:lblAlgn val="ctr"/>
        <c:lblOffset val="100"/>
        <c:noMultiLvlLbl val="0"/>
      </c:catAx>
      <c:spPr>
        <a:noFill/>
        <a:ln>
          <a:noFill/>
        </a:ln>
        <a:effectLst/>
      </c:spPr>
    </c:plotArea>
    <c:legend>
      <c:legendPos val="b"/>
      <c:layout>
        <c:manualLayout>
          <c:xMode val="edge"/>
          <c:yMode val="edge"/>
          <c:x val="4.6101113885628278E-2"/>
          <c:y val="0.93397852722975228"/>
          <c:w val="0.26113515674961102"/>
          <c:h val="5.093093190149846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299474317847"/>
          <c:y val="5.5321061622515405E-2"/>
          <c:w val="0.86175419311902246"/>
          <c:h val="0.81999282822095054"/>
        </c:manualLayout>
      </c:layout>
      <c:barChart>
        <c:barDir val="col"/>
        <c:grouping val="clustered"/>
        <c:varyColors val="0"/>
        <c:ser>
          <c:idx val="0"/>
          <c:order val="0"/>
          <c:tx>
            <c:strRef>
              <c:f>Sheet1!$B$9</c:f>
              <c:strCache>
                <c:ptCount val="1"/>
                <c:pt idx="0">
                  <c:v>Motality %</c:v>
                </c:pt>
              </c:strCache>
            </c:strRef>
          </c:tx>
          <c:spPr>
            <a:solidFill>
              <a:schemeClr val="accent1"/>
            </a:solidFill>
            <a:ln>
              <a:noFill/>
            </a:ln>
            <a:effectLst/>
          </c:spPr>
          <c:invertIfNegative val="0"/>
          <c:cat>
            <c:strRef>
              <c:f>Sheet1!$A$10:$A$12</c:f>
              <c:strCache>
                <c:ptCount val="3"/>
                <c:pt idx="0">
                  <c:v>Paecilomyces sp.</c:v>
                </c:pt>
                <c:pt idx="1">
                  <c:v>Metarhizium anisopliae</c:v>
                </c:pt>
                <c:pt idx="2">
                  <c:v>Beauveria bassiana</c:v>
                </c:pt>
              </c:strCache>
            </c:strRef>
          </c:cat>
          <c:val>
            <c:numRef>
              <c:f>Sheet1!$B$10:$B$12</c:f>
              <c:numCache>
                <c:formatCode>General</c:formatCode>
                <c:ptCount val="3"/>
                <c:pt idx="0">
                  <c:v>85</c:v>
                </c:pt>
                <c:pt idx="1">
                  <c:v>75</c:v>
                </c:pt>
                <c:pt idx="2">
                  <c:v>49.333333333333336</c:v>
                </c:pt>
              </c:numCache>
            </c:numRef>
          </c:val>
          <c:extLst>
            <c:ext xmlns:c16="http://schemas.microsoft.com/office/drawing/2014/chart" uri="{C3380CC4-5D6E-409C-BE32-E72D297353CC}">
              <c16:uniqueId val="{00000000-60AE-4668-BB47-F9198DA3FB90}"/>
            </c:ext>
          </c:extLst>
        </c:ser>
        <c:dLbls>
          <c:showLegendKey val="0"/>
          <c:showVal val="0"/>
          <c:showCatName val="0"/>
          <c:showSerName val="0"/>
          <c:showPercent val="0"/>
          <c:showBubbleSize val="0"/>
        </c:dLbls>
        <c:gapWidth val="219"/>
        <c:overlap val="-27"/>
        <c:axId val="294934879"/>
        <c:axId val="294935359"/>
      </c:barChart>
      <c:catAx>
        <c:axId val="29493487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EPF</a:t>
                </a:r>
              </a:p>
            </c:rich>
          </c:tx>
          <c:layout>
            <c:manualLayout>
              <c:xMode val="edge"/>
              <c:yMode val="edge"/>
              <c:x val="0.55912101177226259"/>
              <c:y val="0.9411105643044620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4935359"/>
        <c:crosses val="autoZero"/>
        <c:auto val="1"/>
        <c:lblAlgn val="ctr"/>
        <c:lblOffset val="100"/>
        <c:noMultiLvlLbl val="0"/>
      </c:catAx>
      <c:valAx>
        <c:axId val="294935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Mortality</a:t>
                </a:r>
                <a:r>
                  <a:rPr lang="en-US" sz="1200" b="1" baseline="0">
                    <a:latin typeface="Times New Roman" panose="02020603050405020304" pitchFamily="18" charset="0"/>
                    <a:cs typeface="Times New Roman" panose="02020603050405020304" pitchFamily="18" charset="0"/>
                  </a:rPr>
                  <a:t> %</a:t>
                </a:r>
                <a:endParaRPr lang="en-US" sz="1200" b="1">
                  <a:latin typeface="Times New Roman" panose="02020603050405020304" pitchFamily="18" charset="0"/>
                  <a:cs typeface="Times New Roman" panose="02020603050405020304" pitchFamily="18" charset="0"/>
                </a:endParaRPr>
              </a:p>
            </c:rich>
          </c:tx>
          <c:layout>
            <c:manualLayout>
              <c:xMode val="edge"/>
              <c:yMode val="edge"/>
              <c:x val="1.0349365611998921E-2"/>
              <c:y val="0.33483158355205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9348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0.22608</cdr:x>
      <cdr:y>0.04598</cdr:y>
    </cdr:from>
    <cdr:to>
      <cdr:x>0.35331</cdr:x>
      <cdr:y>0.12552</cdr:y>
    </cdr:to>
    <cdr:sp macro="" textlink="">
      <cdr:nvSpPr>
        <cdr:cNvPr id="2" name="TextBox 1">
          <a:extLst xmlns:a="http://schemas.openxmlformats.org/drawingml/2006/main">
            <a:ext uri="{FF2B5EF4-FFF2-40B4-BE49-F238E27FC236}">
              <a16:creationId xmlns:a16="http://schemas.microsoft.com/office/drawing/2014/main" id="{106823AC-81B1-BC09-1F83-E0337E135E76}"/>
            </a:ext>
          </a:extLst>
        </cdr:cNvPr>
        <cdr:cNvSpPr txBox="1"/>
      </cdr:nvSpPr>
      <cdr:spPr>
        <a:xfrm xmlns:a="http://schemas.openxmlformats.org/drawingml/2006/main" rot="157550">
          <a:off x="1209335" y="184627"/>
          <a:ext cx="680584" cy="3194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latin typeface="Times New Roman" panose="02020603050405020304" pitchFamily="18" charset="0"/>
              <a:cs typeface="Times New Roman" panose="02020603050405020304" pitchFamily="18" charset="0"/>
            </a:rPr>
            <a:t>85</a:t>
          </a:r>
          <a:r>
            <a:rPr lang="en-US" sz="1100" kern="1200" baseline="30000">
              <a:latin typeface="Times New Roman" panose="02020603050405020304" pitchFamily="18" charset="0"/>
              <a:cs typeface="Times New Roman" panose="02020603050405020304" pitchFamily="18" charset="0"/>
            </a:rPr>
            <a:t>a</a:t>
          </a:r>
          <a:endParaRPr lang="en-US" sz="1100" kern="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0.50885</cdr:x>
      <cdr:y>0.13091</cdr:y>
    </cdr:from>
    <cdr:to>
      <cdr:x>0.58956</cdr:x>
      <cdr:y>0.18522</cdr:y>
    </cdr:to>
    <cdr:sp macro="" textlink="">
      <cdr:nvSpPr>
        <cdr:cNvPr id="3" name="TextBox 2">
          <a:extLst xmlns:a="http://schemas.openxmlformats.org/drawingml/2006/main">
            <a:ext uri="{FF2B5EF4-FFF2-40B4-BE49-F238E27FC236}">
              <a16:creationId xmlns:a16="http://schemas.microsoft.com/office/drawing/2014/main" id="{01C57F7E-C869-3FB6-106E-AF4CDB0805EB}"/>
            </a:ext>
          </a:extLst>
        </cdr:cNvPr>
        <cdr:cNvSpPr txBox="1"/>
      </cdr:nvSpPr>
      <cdr:spPr>
        <a:xfrm xmlns:a="http://schemas.openxmlformats.org/drawingml/2006/main">
          <a:off x="2721985" y="525685"/>
          <a:ext cx="431737" cy="2180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latin typeface="Times New Roman" panose="02020603050405020304" pitchFamily="18" charset="0"/>
              <a:cs typeface="Times New Roman" panose="02020603050405020304" pitchFamily="18" charset="0"/>
            </a:rPr>
            <a:t>75</a:t>
          </a:r>
          <a:r>
            <a:rPr lang="en-US" sz="1100" kern="1200" baseline="30000">
              <a:latin typeface="Times New Roman" panose="02020603050405020304" pitchFamily="18" charset="0"/>
              <a:cs typeface="Times New Roman" panose="02020603050405020304" pitchFamily="18" charset="0"/>
            </a:rPr>
            <a:t>b</a:t>
          </a:r>
          <a:endParaRPr lang="en-US" sz="1100" kern="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0.78789</cdr:x>
      <cdr:y>0.36377</cdr:y>
    </cdr:from>
    <cdr:to>
      <cdr:x>0.88365</cdr:x>
      <cdr:y>0.43555</cdr:y>
    </cdr:to>
    <cdr:sp macro="" textlink="">
      <cdr:nvSpPr>
        <cdr:cNvPr id="4" name="TextBox 3">
          <a:extLst xmlns:a="http://schemas.openxmlformats.org/drawingml/2006/main">
            <a:ext uri="{FF2B5EF4-FFF2-40B4-BE49-F238E27FC236}">
              <a16:creationId xmlns:a16="http://schemas.microsoft.com/office/drawing/2014/main" id="{F0ABB4E6-66A1-04E6-DFA7-CE88DD1D52B3}"/>
            </a:ext>
          </a:extLst>
        </cdr:cNvPr>
        <cdr:cNvSpPr txBox="1"/>
      </cdr:nvSpPr>
      <cdr:spPr>
        <a:xfrm xmlns:a="http://schemas.openxmlformats.org/drawingml/2006/main">
          <a:off x="4214637" y="1460794"/>
          <a:ext cx="512243" cy="288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latin typeface="Times New Roman" panose="02020603050405020304" pitchFamily="18" charset="0"/>
              <a:cs typeface="Times New Roman" panose="02020603050405020304" pitchFamily="18" charset="0"/>
            </a:rPr>
            <a:t>49.3</a:t>
          </a:r>
          <a:r>
            <a:rPr lang="en-US" sz="1100" kern="1200" baseline="30000">
              <a:latin typeface="Times New Roman" panose="02020603050405020304" pitchFamily="18" charset="0"/>
              <a:cs typeface="Times New Roman" panose="02020603050405020304" pitchFamily="18" charset="0"/>
            </a:rPr>
            <a:t>c</a:t>
          </a:r>
          <a:endParaRPr lang="en-US" sz="1100" kern="12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2054</Words>
  <Characters>11709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dcterms:created xsi:type="dcterms:W3CDTF">2026-01-29T12:43:00Z</dcterms:created>
  <dcterms:modified xsi:type="dcterms:W3CDTF">2026-01-30T01:41:00Z</dcterms:modified>
</cp:coreProperties>
</file>