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519A9">
      <w:pPr>
        <w:pStyle w:val="4"/>
        <w:spacing w:before="240" w:beforeAutospacing="0" w:after="240" w:afterAutospacing="0"/>
        <w:jc w:val="center"/>
        <w:rPr>
          <w:b/>
          <w:bCs/>
          <w:color w:val="000000"/>
          <w:sz w:val="28"/>
          <w:szCs w:val="28"/>
        </w:rPr>
      </w:pPr>
      <w:r>
        <w:rPr>
          <w:b/>
          <w:bCs/>
          <w:color w:val="000000"/>
          <w:sz w:val="28"/>
          <w:szCs w:val="28"/>
        </w:rPr>
        <w:t>From Participation to Empowerment: A Case Study of Women’s Changing Roles under the CRIWMP in the Thuduwakkaikulam Cascade System</w:t>
      </w:r>
    </w:p>
    <w:p w14:paraId="144D87D4">
      <w:pPr>
        <w:pStyle w:val="4"/>
        <w:spacing w:beforeAutospacing="0" w:afterAutospacing="0"/>
        <w:jc w:val="center"/>
        <w:rPr>
          <w:color w:val="000000"/>
        </w:rPr>
      </w:pPr>
      <w:r>
        <w:rPr>
          <w:color w:val="000000"/>
        </w:rPr>
        <w:t>Wijerathne M.A.Y.K*¹,Wickramasinghe W.R.M.R.L.K¹,Jayaweera A.¹,Weerahewa J.²</w:t>
      </w:r>
    </w:p>
    <w:p w14:paraId="2BA5BB6A">
      <w:pPr>
        <w:pStyle w:val="4"/>
        <w:spacing w:beforeAutospacing="0" w:afterAutospacing="0"/>
        <w:jc w:val="center"/>
        <w:rPr>
          <w:color w:val="000000"/>
        </w:rPr>
      </w:pPr>
      <w:r>
        <w:rPr>
          <w:color w:val="000000"/>
        </w:rPr>
        <w:t>Department of Agricultural Extension, Faculty of Agriculture, University of</w:t>
      </w:r>
    </w:p>
    <w:p w14:paraId="112F0CCE">
      <w:pPr>
        <w:pStyle w:val="4"/>
        <w:spacing w:beforeAutospacing="0" w:afterAutospacing="0"/>
        <w:jc w:val="center"/>
        <w:rPr>
          <w:color w:val="000000"/>
        </w:rPr>
      </w:pPr>
      <w:r>
        <w:rPr>
          <w:color w:val="000000"/>
        </w:rPr>
        <w:t>Peradeniya¹, Department of Agricultural Economics and Business Management, Faculty of Agriculture, University of Peradeniya²</w:t>
      </w:r>
    </w:p>
    <w:p w14:paraId="1063500E">
      <w:pPr>
        <w:pStyle w:val="4"/>
        <w:spacing w:beforeAutospacing="0" w:afterAutospacing="0"/>
        <w:jc w:val="center"/>
        <w:rPr>
          <w:color w:val="000000"/>
        </w:rPr>
      </w:pPr>
      <w:r>
        <w:rPr>
          <w:color w:val="000000"/>
        </w:rPr>
        <w:t>yasangiwijerathne@gmail.com</w:t>
      </w:r>
    </w:p>
    <w:p w14:paraId="6C18ACB2">
      <w:pPr>
        <w:pStyle w:val="4"/>
        <w:spacing w:beforeAutospacing="0" w:afterAutospacing="0" w:line="360" w:lineRule="auto"/>
        <w:jc w:val="both"/>
        <w:rPr>
          <w:b/>
          <w:bCs/>
          <w:color w:val="000000"/>
        </w:rPr>
      </w:pPr>
    </w:p>
    <w:p w14:paraId="53979401">
      <w:pPr>
        <w:pStyle w:val="4"/>
        <w:spacing w:beforeAutospacing="0" w:afterAutospacing="0" w:line="360" w:lineRule="auto"/>
        <w:jc w:val="both"/>
      </w:pPr>
      <w:r>
        <w:rPr>
          <w:b/>
          <w:bCs/>
          <w:color w:val="000000"/>
        </w:rPr>
        <w:t>Introduction</w:t>
      </w:r>
    </w:p>
    <w:p w14:paraId="031FB8CF">
      <w:pPr>
        <w:pStyle w:val="4"/>
        <w:spacing w:beforeAutospacing="0" w:afterAutospacing="0" w:line="360" w:lineRule="auto"/>
        <w:jc w:val="both"/>
      </w:pPr>
      <w:r>
        <w:rPr>
          <w:color w:val="000000"/>
        </w:rPr>
        <w:t>The role of women in the agriculture sector of Sri Lankan dry zone is significantly important, but remains largely unrecognized. Their contribution being considerable for agriculture, livestock, household food security and water collection (FAO,n.d.). Apart from their role in the decision-making process, access to the productive resources, leadership opportunities, and income generation capacity remain limited due to structural, cultural, and institutional factors in rural society (Agarwal, 1994). Water scarcity, climate change, and lack of sustainable livelihood approaches additionally enhance the inequalities of the genders, particularly in dry zone cascade irrigation systems where effective water management plays a major role in agriculture (World Bank, 2010).</w:t>
      </w:r>
    </w:p>
    <w:p w14:paraId="7BEF2874">
      <w:pPr>
        <w:spacing w:line="360" w:lineRule="auto"/>
      </w:pPr>
    </w:p>
    <w:p w14:paraId="44BC4696">
      <w:pPr>
        <w:pStyle w:val="4"/>
        <w:spacing w:beforeAutospacing="0" w:afterAutospacing="0" w:line="360" w:lineRule="auto"/>
        <w:jc w:val="both"/>
        <w:rPr>
          <w:color w:val="000000"/>
        </w:rPr>
      </w:pPr>
      <w:r>
        <w:rPr>
          <w:color w:val="000000"/>
        </w:rPr>
        <w:t xml:space="preserve">Realizing the existence of such challenges, there are several projects related to the integrated management of water resources, as well as climate-resilient agricultural interventions. (UN Water, 2018). However, almost all the development initiatives would primarily prioritize its technical outcomes, without considering the transformation of livelihood of women socially.  As mentioned by Kabeer (1999), the current trends of women’s empowerment would focus more on the concept of resources, agency, as well as achievements. </w:t>
      </w:r>
      <w:r>
        <w:rPr>
          <w:rFonts w:hint="default"/>
          <w:color w:val="000000"/>
          <w:lang w:val="en-US"/>
        </w:rPr>
        <w:t>Furthermore, this demonstrates</w:t>
      </w:r>
      <w:r>
        <w:rPr>
          <w:color w:val="000000"/>
        </w:rPr>
        <w:t xml:space="preserve"> increased decision-making power, control over resources, and </w:t>
      </w:r>
      <w:r>
        <w:rPr>
          <w:rFonts w:hint="default"/>
          <w:color w:val="000000"/>
          <w:lang w:val="en-US"/>
        </w:rPr>
        <w:t xml:space="preserve">the </w:t>
      </w:r>
      <w:r>
        <w:rPr>
          <w:color w:val="000000"/>
          <w:lang w:val="en-US"/>
        </w:rPr>
        <w:t>transformation</w:t>
      </w:r>
      <w:r>
        <w:rPr>
          <w:rFonts w:hint="default"/>
          <w:color w:val="000000"/>
          <w:lang w:val="en-US"/>
        </w:rPr>
        <w:t xml:space="preserve"> of</w:t>
      </w:r>
      <w:r>
        <w:rPr>
          <w:color w:val="000000"/>
        </w:rPr>
        <w:t xml:space="preserve"> livelihood outcomes. </w:t>
      </w:r>
    </w:p>
    <w:p w14:paraId="187D3825">
      <w:pPr>
        <w:pStyle w:val="4"/>
        <w:spacing w:beforeAutospacing="0" w:afterAutospacing="0" w:line="360" w:lineRule="auto"/>
        <w:jc w:val="both"/>
        <w:rPr>
          <w:color w:val="000000"/>
        </w:rPr>
      </w:pPr>
    </w:p>
    <w:p w14:paraId="2E2E949C">
      <w:pPr>
        <w:pStyle w:val="4"/>
        <w:spacing w:beforeAutospacing="0" w:afterAutospacing="0" w:line="360" w:lineRule="auto"/>
        <w:jc w:val="both"/>
      </w:pPr>
      <w:r>
        <w:rPr>
          <w:rFonts w:hint="default"/>
          <w:color w:val="000000"/>
          <w:lang w:val="en-US"/>
        </w:rPr>
        <w:t xml:space="preserve">The main objective of initiating </w:t>
      </w:r>
      <w:r>
        <w:rPr>
          <w:color w:val="000000"/>
        </w:rPr>
        <w:t>Climate Resilience Improvement and Water Management Project (CRIWMP) in Sri Lanka was to promote improved water management, agricultural productivity, and climate resilience in a dry zone cascade system. There have been other aspects of the CRIWMP that include capacity development and livelihood diversification to encourage the role of women. This case study highlights such an aspect to focus on the contribution of women’s participation towards overall women’s empowerment.</w:t>
      </w:r>
    </w:p>
    <w:p w14:paraId="7C3D10CB">
      <w:pPr>
        <w:pStyle w:val="4"/>
        <w:spacing w:beforeAutospacing="0" w:afterAutospacing="0" w:line="360" w:lineRule="auto"/>
        <w:jc w:val="both"/>
      </w:pPr>
      <w:r>
        <w:rPr>
          <w:color w:val="000000"/>
        </w:rPr>
        <w:t>Focusing on the Thuduwakkaikulama cascade systems in the Vavuniya District, this research explores how CRIWMP interventions have influence on women’s roles in agriculture, household economies and community institutions. The study analyses women’s transition from project participants to empowered economic actors and leaders, by using a qualitative case study approach. The findings contribute to the wider discussion on gender-responsive climate adaptation, demonstrating how integrated water management projects can stimulate social and gender transformation within dry zone agricultural systems. </w:t>
      </w:r>
    </w:p>
    <w:p w14:paraId="2AC166B4">
      <w:pPr>
        <w:spacing w:line="360" w:lineRule="auto"/>
      </w:pPr>
    </w:p>
    <w:p w14:paraId="2A5620B6">
      <w:pPr>
        <w:pStyle w:val="4"/>
        <w:spacing w:beforeAutospacing="0" w:afterAutospacing="0" w:line="360" w:lineRule="auto"/>
        <w:jc w:val="both"/>
        <w:rPr>
          <w:b/>
          <w:bCs/>
          <w:color w:val="000000"/>
        </w:rPr>
      </w:pPr>
      <w:r>
        <w:rPr>
          <w:b/>
          <w:bCs/>
          <w:color w:val="000000"/>
        </w:rPr>
        <w:t>Materials and Methods</w:t>
      </w:r>
    </w:p>
    <w:p w14:paraId="159CC872">
      <w:pPr>
        <w:pStyle w:val="4"/>
        <w:spacing w:before="240" w:beforeAutospacing="0" w:after="240" w:afterAutospacing="0" w:line="360" w:lineRule="auto"/>
        <w:jc w:val="both"/>
        <w:rPr>
          <w:color w:val="000000"/>
        </w:rPr>
      </w:pPr>
      <w:r>
        <w:rPr>
          <w:color w:val="000000"/>
        </w:rPr>
        <w:t xml:space="preserve">This study adopted a qualitative case study design to explore women’s empowerment outcomes under the CRIWMP in </w:t>
      </w:r>
      <w:r>
        <w:rPr>
          <w:rFonts w:hint="default"/>
          <w:color w:val="000000"/>
          <w:lang w:val="en-US"/>
        </w:rPr>
        <w:t>the two Village Irrigation Systems (VIS), Kelesiyambalawewa and Thammannakulama which are in</w:t>
      </w:r>
      <w:r>
        <w:rPr>
          <w:color w:val="000000"/>
        </w:rPr>
        <w:t xml:space="preserve"> Thuduwakkaikulam cascade system.</w:t>
      </w:r>
      <w:r>
        <w:rPr>
          <w:rFonts w:hint="default"/>
          <w:color w:val="000000"/>
          <w:lang w:val="en-US"/>
        </w:rPr>
        <w:t xml:space="preserve"> </w:t>
      </w:r>
      <w:r>
        <w:rPr>
          <w:color w:val="000000"/>
        </w:rPr>
        <w:t xml:space="preserve"> The case study approach was selected to identify context-specific social processes, lived experiences, and gendered transformations that are associated with project interventions. </w:t>
      </w:r>
    </w:p>
    <w:p w14:paraId="765CE4E8">
      <w:pPr>
        <w:pStyle w:val="4"/>
        <w:spacing w:before="240" w:beforeAutospacing="0" w:after="240" w:afterAutospacing="0" w:line="360" w:lineRule="auto"/>
        <w:jc w:val="both"/>
      </w:pPr>
      <w:r>
        <w:rPr>
          <w:color w:val="000000"/>
        </w:rPr>
        <w:t>Primary data were collected through Focus Group Discussions (FGDs), Key Informative Interviews (KIIs), and observations.</w:t>
      </w:r>
      <w:r>
        <w:rPr>
          <w:rFonts w:hint="default"/>
          <w:color w:val="000000"/>
          <w:lang w:val="en-US"/>
        </w:rPr>
        <w:t xml:space="preserve"> All FGDs and KIIs were conducted in Sinhala laguage. With the prior informed consent of the participants, all interviews were audio recorded to ensure accuracy in data collection and transcription, and the transcripts were translated to English language.</w:t>
      </w:r>
      <w:r>
        <w:rPr>
          <w:color w:val="000000"/>
        </w:rPr>
        <w:t xml:space="preserve"> FGDs were purposely designed to represent diverse stakeholder groups involved in or affected by the project. These included </w:t>
      </w:r>
      <w:r>
        <w:rPr>
          <w:rFonts w:hint="default"/>
          <w:color w:val="000000"/>
          <w:lang w:val="en-US"/>
        </w:rPr>
        <w:t>separate groups of 3 trained male farmer leader beneficiaries (farmer organization leaders), 3 trained women farmer leader beneficiaries (women farmer organization), 6 general male farmer beneficiaries, 21 general female farmer beneficiaries, 4 Vulnerable beneficiaries (displaced and resettled/ widowed/ CKD affected/ samurdhi recipients) benefiting from water schemes and agricultural/ irrigation improvement activities, representing both two VISs</w:t>
      </w:r>
      <w:r>
        <w:rPr>
          <w:color w:val="000000"/>
        </w:rPr>
        <w:t>.</w:t>
      </w:r>
      <w:r>
        <w:rPr>
          <w:rFonts w:hint="default"/>
          <w:color w:val="000000"/>
          <w:lang w:val="en-US"/>
        </w:rPr>
        <w:t xml:space="preserve"> Apart from </w:t>
      </w:r>
      <w:r>
        <w:rPr>
          <w:color w:val="000000"/>
        </w:rPr>
        <w:t xml:space="preserve">FGDs, key informant interviews (KIIs) were conducted with </w:t>
      </w:r>
      <w:r>
        <w:rPr>
          <w:rFonts w:hint="default"/>
          <w:color w:val="000000"/>
          <w:lang w:val="en-US"/>
        </w:rPr>
        <w:t xml:space="preserve">a female </w:t>
      </w:r>
      <w:r>
        <w:rPr>
          <w:rFonts w:hint="default"/>
          <w:color w:val="000000"/>
        </w:rPr>
        <w:t>community member</w:t>
      </w:r>
      <w:r>
        <w:rPr>
          <w:rFonts w:hint="default"/>
          <w:color w:val="000000"/>
          <w:lang w:val="en-US"/>
        </w:rPr>
        <w:t xml:space="preserve"> who is</w:t>
      </w:r>
      <w:r>
        <w:rPr>
          <w:rFonts w:hint="default"/>
          <w:color w:val="000000"/>
        </w:rPr>
        <w:t xml:space="preserve"> collecting agro-met data at community level (those who take rain gauge measurements/ water level of the tank)</w:t>
      </w:r>
      <w:r>
        <w:rPr>
          <w:rFonts w:hint="default"/>
          <w:color w:val="000000"/>
          <w:lang w:val="en-US"/>
        </w:rPr>
        <w:t xml:space="preserve">, and with 3 women entrepreneurs separately in order </w:t>
      </w:r>
      <w:r>
        <w:rPr>
          <w:color w:val="000000"/>
        </w:rPr>
        <w:t>to capture in-depth narratives of livelihood transformation and multidimensional empowerment.</w:t>
      </w:r>
    </w:p>
    <w:p w14:paraId="6C602B16">
      <w:pPr>
        <w:pStyle w:val="4"/>
        <w:spacing w:before="240" w:beforeAutospacing="0" w:after="240" w:afterAutospacing="0" w:line="360" w:lineRule="auto"/>
        <w:jc w:val="both"/>
        <w:rPr>
          <w:rFonts w:hint="default"/>
          <w:color w:val="000000"/>
          <w:lang w:val="en-US"/>
        </w:rPr>
      </w:pPr>
      <w:r>
        <w:rPr>
          <w:color w:val="000000"/>
        </w:rPr>
        <w:t xml:space="preserve">Participants were selected purposive and criterion-based sampling to ensure representation of gender, age, livelihood type, and level of engagement with CRIWMP interventions. FGDs </w:t>
      </w:r>
      <w:r>
        <w:rPr>
          <w:rFonts w:hint="default"/>
          <w:color w:val="000000"/>
          <w:lang w:val="en-US"/>
        </w:rPr>
        <w:t xml:space="preserve">and KIIs </w:t>
      </w:r>
      <w:r>
        <w:rPr>
          <w:color w:val="000000"/>
        </w:rPr>
        <w:t xml:space="preserve">were </w:t>
      </w:r>
      <w:r>
        <w:rPr>
          <w:rFonts w:hint="default"/>
          <w:color w:val="000000"/>
          <w:lang w:val="en-US"/>
        </w:rPr>
        <w:t>done</w:t>
      </w:r>
      <w:r>
        <w:rPr>
          <w:color w:val="000000"/>
        </w:rPr>
        <w:t xml:space="preserve"> using semi-structured guides </w:t>
      </w:r>
      <w:r>
        <w:rPr>
          <w:rFonts w:hint="default"/>
          <w:color w:val="000000"/>
          <w:lang w:val="en-US"/>
        </w:rPr>
        <w:t xml:space="preserve">exploring women’s empowerment by examining changes in women’s roles, participation, leadership, and decision-making power in household, farming, and community-level activities. The discussions also focused on women’s access to resources, livelihood and income changes, social recognition, and the inclusion of vulnerable groups in project-related institutions and processes. </w:t>
      </w:r>
    </w:p>
    <w:p w14:paraId="5F753559">
      <w:pPr>
        <w:pStyle w:val="4"/>
        <w:spacing w:before="240" w:beforeAutospacing="0" w:after="240" w:afterAutospacing="0" w:line="360" w:lineRule="auto"/>
        <w:jc w:val="both"/>
        <w:rPr>
          <w:color w:val="000000"/>
        </w:rPr>
      </w:pPr>
      <w:r>
        <w:rPr>
          <w:color w:val="000000"/>
        </w:rPr>
        <w:t>Data were analyzed using thematic analysis guided by gender empowerment frameworks, particularly Kabeer’s dimensions of resources, agency, and achievements.  Triangulation was achieved by cross-validating narratives among different stakeholder groups and linking women’s experiences with institutional and livelihood-level changes.</w:t>
      </w:r>
      <w:bookmarkStart w:id="0" w:name="_GoBack"/>
      <w:bookmarkEnd w:id="0"/>
    </w:p>
    <w:p w14:paraId="6BD9B95D">
      <w:pPr>
        <w:pStyle w:val="4"/>
        <w:spacing w:before="240" w:beforeAutospacing="0" w:after="240" w:afterAutospacing="0" w:line="360" w:lineRule="auto"/>
        <w:jc w:val="both"/>
        <w:rPr>
          <w:b/>
          <w:bCs/>
          <w:color w:val="000000"/>
        </w:rPr>
      </w:pPr>
      <w:r>
        <w:rPr>
          <w:b/>
          <w:bCs/>
          <w:color w:val="000000"/>
        </w:rPr>
        <w:t>Results and Discussion</w:t>
      </w:r>
    </w:p>
    <w:p w14:paraId="4965C051">
      <w:pPr>
        <w:pStyle w:val="4"/>
        <w:spacing w:before="240" w:beforeAutospacing="0" w:after="240" w:afterAutospacing="0" w:line="360" w:lineRule="auto"/>
        <w:jc w:val="both"/>
      </w:pPr>
      <w:r>
        <w:rPr>
          <w:color w:val="000000"/>
        </w:rPr>
        <w:t>The findings reveal a clear transition of women’s roles from participation to empowerment under CRIWMP interventions across economic, social, and psychological dimensions. Initially, women’s involvement was largely limited to agricultural activities which are labour-intensive, household food production, and attendance at project meetings. Over time, targeted interventions enabled women to access resources, develop agency, and achieve tangible livelihood outcomes. Enhanced access to resources and livelihood opportunities, collective action and leadership development, entrepreneurship and economic empowerment, social recognition, decision-making, and well-being, information access and climate resilience are the five themes generated as the result.</w:t>
      </w:r>
    </w:p>
    <w:p w14:paraId="04E2E0AB">
      <w:pPr>
        <w:pStyle w:val="4"/>
        <w:spacing w:before="240" w:beforeAutospacing="0" w:after="240" w:afterAutospacing="0" w:line="360" w:lineRule="auto"/>
        <w:jc w:val="both"/>
      </w:pPr>
      <w:r>
        <w:rPr>
          <w:color w:val="000000"/>
        </w:rPr>
        <w:t>Theme 01: Enhanced Access to Resources and Livelihood Opportunities</w:t>
      </w:r>
    </w:p>
    <w:p w14:paraId="5B7B5735">
      <w:pPr>
        <w:pStyle w:val="4"/>
        <w:spacing w:before="240" w:beforeAutospacing="0" w:after="240" w:afterAutospacing="0" w:line="360" w:lineRule="auto"/>
        <w:jc w:val="both"/>
      </w:pPr>
      <w:r>
        <w:rPr>
          <w:color w:val="000000"/>
        </w:rPr>
        <w:t>CRIWMP supported activities, such as home gardening, groundnut cultivation, poultry rearing, rainwater harvesting systems, and improved access to irrigation technologies, significantly reducing women’s time burdens related to water fetching. Improved water availability allowed women to allocate their time towards income-generating activities and skill development.</w:t>
      </w:r>
    </w:p>
    <w:p w14:paraId="58D1D264">
      <w:pPr>
        <w:pStyle w:val="4"/>
        <w:spacing w:before="240" w:beforeAutospacing="0" w:after="240" w:afterAutospacing="0" w:line="360" w:lineRule="auto"/>
        <w:jc w:val="both"/>
      </w:pPr>
      <w:r>
        <w:rPr>
          <w:color w:val="000000"/>
        </w:rPr>
        <w:t>Theme 02: Collective Action and Leadership Development</w:t>
      </w:r>
    </w:p>
    <w:p w14:paraId="3DD28300">
      <w:pPr>
        <w:pStyle w:val="4"/>
        <w:spacing w:before="240" w:beforeAutospacing="0" w:after="240" w:afterAutospacing="0" w:line="360" w:lineRule="auto"/>
        <w:jc w:val="both"/>
      </w:pPr>
      <w:r>
        <w:rPr>
          <w:color w:val="000000"/>
        </w:rPr>
        <w:t>Forming and strengthening women-based organizations (WCBOs) played a major role in empowerment. Through WCBOs, women accessed low-interest credit, participated in regular meetings, and received training in financial management, entrepreneurship, accounting, and technology use. While women’s representation in higher-level institutions such as Cascade Management Committees remained limited, leadership within women-led groups considerably increased, demonstrating a shift in agency and collective voice.</w:t>
      </w:r>
    </w:p>
    <w:p w14:paraId="4CECAFBD">
      <w:pPr>
        <w:pStyle w:val="4"/>
        <w:spacing w:before="240" w:beforeAutospacing="0" w:after="240" w:afterAutospacing="0" w:line="360" w:lineRule="auto"/>
        <w:jc w:val="both"/>
      </w:pPr>
      <w:r>
        <w:rPr>
          <w:color w:val="000000"/>
        </w:rPr>
        <w:t>Theme 03: Entrepreneurship and Economic Empowerment</w:t>
      </w:r>
    </w:p>
    <w:p w14:paraId="04A43262">
      <w:pPr>
        <w:pStyle w:val="4"/>
        <w:spacing w:before="240" w:beforeAutospacing="0" w:after="240" w:afterAutospacing="0" w:line="360" w:lineRule="auto"/>
        <w:jc w:val="both"/>
      </w:pPr>
      <w:r>
        <w:rPr>
          <w:color w:val="000000"/>
        </w:rPr>
        <w:t>Several success stories illustrate transformative economic outcomes. One woman expanded a small-scale hand-made carpet activity into a collective enterprise after receiving sewing machines and an overlock machine through the project. By organizing four other women, she created employment opportunities during off-season periods. The income generated supported household needs, children’s education, asset acquisition, and higher education. Another woman emerged as an individual entrepreneur, sewing garments independently, demonstrating diversification within women-led enterprises.</w:t>
      </w:r>
    </w:p>
    <w:p w14:paraId="74FCD18D">
      <w:pPr>
        <w:pStyle w:val="4"/>
        <w:spacing w:before="240" w:beforeAutospacing="0" w:after="240" w:afterAutospacing="0" w:line="360" w:lineRule="auto"/>
        <w:jc w:val="both"/>
      </w:pPr>
      <w:r>
        <w:rPr>
          <w:rFonts w:hint="default"/>
          <w:color w:val="000000"/>
          <w:highlight w:val="none"/>
          <w:lang w:val="en-US"/>
        </w:rPr>
        <w:t>Some of the v</w:t>
      </w:r>
      <w:r>
        <w:rPr>
          <w:color w:val="000000"/>
          <w:highlight w:val="none"/>
        </w:rPr>
        <w:t xml:space="preserve">ulnerable women experienced particularly strong empowerment outcomes. A widowed woman affected by Chronic Kidney Disease of Unknown Etiology (CKDU) related livelihood shocks received groundnut seeds and planting materials of cassava, later investing her earnings </w:t>
      </w:r>
      <w:r>
        <w:rPr>
          <w:rFonts w:hint="default"/>
          <w:color w:val="000000"/>
          <w:highlight w:val="none"/>
          <w:lang w:val="en-US"/>
        </w:rPr>
        <w:t xml:space="preserve">from selling harvest </w:t>
      </w:r>
      <w:r>
        <w:rPr>
          <w:color w:val="000000"/>
          <w:highlight w:val="none"/>
        </w:rPr>
        <w:t>in food processing machines. This enabled her to independently support her child’s education and sustain her household, reflecting resilience-building beyond immediate income gains.</w:t>
      </w:r>
      <w:r>
        <w:rPr>
          <w:color w:val="000000"/>
        </w:rPr>
        <w:t> </w:t>
      </w:r>
    </w:p>
    <w:p w14:paraId="5B8A7D75">
      <w:pPr>
        <w:pStyle w:val="4"/>
        <w:spacing w:before="240" w:beforeAutospacing="0" w:after="240" w:afterAutospacing="0" w:line="360" w:lineRule="auto"/>
        <w:jc w:val="both"/>
      </w:pPr>
      <w:r>
        <w:rPr>
          <w:color w:val="000000"/>
        </w:rPr>
        <w:t>Theme 04: Social Recognition, Decision-Making, and Well-being</w:t>
      </w:r>
    </w:p>
    <w:p w14:paraId="36870985">
      <w:pPr>
        <w:pStyle w:val="4"/>
        <w:spacing w:before="240" w:beforeAutospacing="0" w:after="240" w:afterAutospacing="0" w:line="360" w:lineRule="auto"/>
        <w:jc w:val="both"/>
      </w:pPr>
      <w:r>
        <w:rPr>
          <w:color w:val="000000"/>
        </w:rPr>
        <w:t>Beyond economic benefits, women reported increased self-confidence, mental well-being, and social recognition within households and communities. Reduced financial stress contributed to fewer household conflicts, improved nutrition, and enhanced respect for women’s decision-making authority over income use. These outcomes correspond to the “achievements” dimension of empowerment frameworks and highlight empowerment as a multidimensional process.</w:t>
      </w:r>
    </w:p>
    <w:p w14:paraId="657F9305">
      <w:pPr>
        <w:pStyle w:val="4"/>
        <w:spacing w:before="240" w:beforeAutospacing="0" w:after="240" w:afterAutospacing="0" w:line="360" w:lineRule="auto"/>
        <w:jc w:val="both"/>
      </w:pPr>
      <w:r>
        <w:rPr>
          <w:color w:val="000000"/>
        </w:rPr>
        <w:t>Theme 05: Information Access and Climate Resilience</w:t>
      </w:r>
    </w:p>
    <w:p w14:paraId="53C7CF99">
      <w:pPr>
        <w:pStyle w:val="4"/>
        <w:spacing w:before="240" w:beforeAutospacing="0" w:after="240" w:afterAutospacing="0" w:line="360" w:lineRule="auto"/>
        <w:jc w:val="both"/>
      </w:pPr>
      <w:r>
        <w:rPr>
          <w:color w:val="000000"/>
        </w:rPr>
        <w:t>Project-supported communication networks further strengthened empowerment. Weather and climate information disseminated through key individuals and shared via farmer organizations enabled women and men to make informed agricultural decisions. This enhanced adaptive capacity and collective resilience, reinforcing women’s role as information intermediaries within communities.</w:t>
      </w:r>
    </w:p>
    <w:p w14:paraId="578E995C">
      <w:pPr>
        <w:pStyle w:val="4"/>
        <w:spacing w:before="240" w:beforeAutospacing="0" w:after="240" w:afterAutospacing="0" w:line="360" w:lineRule="auto"/>
        <w:jc w:val="both"/>
        <w:rPr>
          <w:b/>
          <w:bCs/>
          <w:color w:val="000000"/>
        </w:rPr>
      </w:pPr>
      <w:r>
        <w:rPr>
          <w:b/>
          <w:bCs/>
          <w:color w:val="000000"/>
        </w:rPr>
        <w:t>Conclusion</w:t>
      </w:r>
    </w:p>
    <w:p w14:paraId="2EBB8763">
      <w:pPr>
        <w:pStyle w:val="4"/>
        <w:spacing w:before="240" w:beforeAutospacing="0" w:after="240" w:afterAutospacing="0" w:line="360" w:lineRule="auto"/>
        <w:jc w:val="both"/>
        <w:rPr>
          <w:color w:val="000000"/>
        </w:rPr>
      </w:pPr>
      <w:r>
        <w:rPr>
          <w:color w:val="000000"/>
        </w:rPr>
        <w:t>This case study demonstrates that CRIWMP interventions facilitated a meaningful transition from women’s participation to empowerment in dry zone cascade systems. Empowerment was achieved through the combined effects of resource access, collective organization, capacity building, and livelihood diversification. The findings affirm that climate-resilient water management projects can generate transformative gender outcomes when designed with inclusive and gender-responsive approaches.</w:t>
      </w:r>
    </w:p>
    <w:p w14:paraId="4E63DB44">
      <w:pPr>
        <w:pStyle w:val="4"/>
        <w:spacing w:before="240" w:beforeAutospacing="0" w:after="240" w:afterAutospacing="0" w:line="360" w:lineRule="auto"/>
        <w:jc w:val="both"/>
        <w:rPr>
          <w:b/>
          <w:bCs/>
          <w:color w:val="000000"/>
        </w:rPr>
      </w:pPr>
      <w:r>
        <w:rPr>
          <w:b/>
          <w:bCs/>
          <w:color w:val="000000"/>
        </w:rPr>
        <w:t>References</w:t>
      </w:r>
    </w:p>
    <w:p w14:paraId="56D87FAB">
      <w:pPr>
        <w:pStyle w:val="4"/>
        <w:spacing w:before="240" w:beforeAutospacing="0" w:after="240" w:afterAutospacing="0" w:line="360" w:lineRule="auto"/>
        <w:jc w:val="both"/>
        <w:rPr>
          <w:color w:val="000000"/>
        </w:rPr>
      </w:pPr>
      <w:r>
        <w:rPr>
          <w:color w:val="000000"/>
        </w:rPr>
        <w:t>Kabeer, N. (1999). Resources, agency, achievements: Reflections on the measurement of women’s empowerment. Development and Change, 30(3), 435–464.</w:t>
      </w:r>
    </w:p>
    <w:p w14:paraId="7091EE6D">
      <w:pPr>
        <w:pStyle w:val="4"/>
        <w:spacing w:before="240" w:beforeAutospacing="0" w:after="240" w:afterAutospacing="0" w:line="360" w:lineRule="auto"/>
        <w:jc w:val="both"/>
        <w:rPr>
          <w:color w:val="000000"/>
        </w:rPr>
      </w:pPr>
      <w:r>
        <w:rPr>
          <w:color w:val="000000"/>
        </w:rPr>
        <w:t>Meinzen-Dick, R., Kovarik, C. and Quisumbing, A. (2014). Gender and sustainability. Annual Review of Environment and Resources, 39, 29–55.</w:t>
      </w:r>
    </w:p>
    <w:p w14:paraId="480772D8">
      <w:pPr>
        <w:pStyle w:val="4"/>
        <w:spacing w:before="240" w:beforeAutospacing="0" w:after="240" w:afterAutospacing="0" w:line="360" w:lineRule="auto"/>
        <w:jc w:val="both"/>
        <w:rPr>
          <w:color w:val="000000"/>
        </w:rPr>
      </w:pPr>
      <w:r>
        <w:rPr>
          <w:color w:val="000000"/>
        </w:rPr>
        <w:t>FAO (2011). The State of Food and Agriculture 2010–11: Women in Agriculture. Rome: FAO.</w:t>
      </w:r>
    </w:p>
    <w:p w14:paraId="6FEC9E66">
      <w:pPr>
        <w:pStyle w:val="4"/>
        <w:spacing w:before="240" w:beforeAutospacing="0" w:after="240" w:afterAutospacing="0" w:line="360" w:lineRule="auto"/>
        <w:jc w:val="both"/>
        <w:rPr>
          <w:color w:val="000000"/>
        </w:rPr>
      </w:pPr>
      <w:r>
        <w:rPr>
          <w:color w:val="000000"/>
        </w:rPr>
        <w:t>Cleaver, F. and Hamada, K. (2010). ‘Good’ water governance and gender equity: A troubled relationship. Gender &amp; Development, 18(1), 27–41.</w:t>
      </w:r>
    </w:p>
    <w:p w14:paraId="0ED7BB1C">
      <w:pPr>
        <w:pStyle w:val="4"/>
        <w:spacing w:before="240" w:beforeAutospacing="0" w:after="240" w:afterAutospacing="0" w:line="360" w:lineRule="auto"/>
        <w:jc w:val="both"/>
        <w:rPr>
          <w:color w:val="000000"/>
        </w:rPr>
      </w:pPr>
      <w:r>
        <w:rPr>
          <w:color w:val="000000"/>
        </w:rPr>
        <w:t>Agarwal, B. (2010). Gender and Green Governance. Oxford: Oxford University Press.</w:t>
      </w:r>
    </w:p>
    <w:p w14:paraId="3D5C9BAC">
      <w:pPr>
        <w:pStyle w:val="4"/>
        <w:spacing w:before="240" w:beforeAutospacing="0" w:after="240" w:afterAutospacing="0" w:line="360" w:lineRule="auto"/>
        <w:jc w:val="both"/>
        <w:rPr>
          <w:b/>
          <w:bCs/>
          <w:color w:val="000000"/>
        </w:rPr>
      </w:pPr>
    </w:p>
    <w:p w14:paraId="49BFC051">
      <w:pPr>
        <w:spacing w:after="240" w:line="360" w:lineRule="auto"/>
      </w:pPr>
      <w:r>
        <w:rPr>
          <w:rFonts w:ascii="SimSun" w:hAnsi="SimSun" w:eastAsia="SimSun" w:cs="SimSun"/>
          <w:sz w:val="24"/>
          <w:szCs w:val="24"/>
          <w:lang w:bidi="ar"/>
        </w:rPr>
        <w:br w:type="textWrapping"/>
      </w:r>
      <w:r>
        <w:rPr>
          <w:rFonts w:ascii="SimSun" w:hAnsi="SimSun" w:eastAsia="SimSun" w:cs="SimSun"/>
          <w:sz w:val="24"/>
          <w:szCs w:val="24"/>
          <w:lang w:bidi="ar"/>
        </w:rPr>
        <w:br w:type="textWrapping"/>
      </w:r>
      <w:r>
        <w:rPr>
          <w:rFonts w:ascii="SimSun" w:hAnsi="SimSun" w:eastAsia="SimSun" w:cs="SimSun"/>
          <w:sz w:val="24"/>
          <w:szCs w:val="24"/>
          <w:lang w:bidi="ar"/>
        </w:rPr>
        <w:br w:type="textWrapping"/>
      </w:r>
      <w:r>
        <w:rPr>
          <w:rFonts w:ascii="SimSun" w:hAnsi="SimSun" w:eastAsia="SimSun" w:cs="SimSun"/>
          <w:sz w:val="24"/>
          <w:szCs w:val="24"/>
          <w:lang w:bidi="ar"/>
        </w:rPr>
        <w:br w:type="textWrapping"/>
      </w:r>
      <w:r>
        <w:rPr>
          <w:rFonts w:ascii="SimSun" w:hAnsi="SimSun" w:eastAsia="SimSun" w:cs="SimSun"/>
          <w:sz w:val="24"/>
          <w:szCs w:val="24"/>
          <w:lang w:bidi="ar"/>
        </w:rPr>
        <w:br w:type="textWrapping"/>
      </w:r>
      <w:r>
        <w:rPr>
          <w:rFonts w:ascii="SimSun" w:hAnsi="SimSun" w:eastAsia="SimSun" w:cs="SimSun"/>
          <w:sz w:val="24"/>
          <w:szCs w:val="24"/>
          <w:lang w:bidi="ar"/>
        </w:rPr>
        <w:br w:type="textWrapping"/>
      </w:r>
      <w:r>
        <w:rPr>
          <w:rFonts w:ascii="SimSun" w:hAnsi="SimSun" w:eastAsia="SimSun" w:cs="SimSun"/>
          <w:sz w:val="24"/>
          <w:szCs w:val="24"/>
          <w:lang w:bidi="ar"/>
        </w:rPr>
        <w:br w:type="textWrapping"/>
      </w:r>
      <w:r>
        <w:rPr>
          <w:rFonts w:ascii="SimSun" w:hAnsi="SimSun" w:eastAsia="SimSun" w:cs="SimSun"/>
          <w:sz w:val="24"/>
          <w:szCs w:val="24"/>
          <w:lang w:bidi="ar"/>
        </w:rPr>
        <w:br w:type="textWrapping"/>
      </w:r>
    </w:p>
    <w:p w14:paraId="4E2B5A60"/>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9638E"/>
    <w:rsid w:val="00153D40"/>
    <w:rsid w:val="00207357"/>
    <w:rsid w:val="005D50A0"/>
    <w:rsid w:val="008F7C6A"/>
    <w:rsid w:val="0096576F"/>
    <w:rsid w:val="00C52B8A"/>
    <w:rsid w:val="00E76D9F"/>
    <w:rsid w:val="18060705"/>
    <w:rsid w:val="18C20130"/>
    <w:rsid w:val="1A1B5DE5"/>
    <w:rsid w:val="293E7836"/>
    <w:rsid w:val="300E7BAE"/>
    <w:rsid w:val="37A66AB4"/>
    <w:rsid w:val="4E3403B6"/>
    <w:rsid w:val="5BAD4574"/>
    <w:rsid w:val="5DAF3E69"/>
    <w:rsid w:val="60E9638E"/>
    <w:rsid w:val="7350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1224</Words>
  <Characters>8532</Characters>
  <Lines>69</Lines>
  <Paragraphs>19</Paragraphs>
  <TotalTime>172</TotalTime>
  <ScaleCrop>false</ScaleCrop>
  <LinksUpToDate>false</LinksUpToDate>
  <CharactersWithSpaces>9726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2025-12-31T13:59:00Z</dcterms:created>
  <dc:creator>Yasangi Wijerathne</dc:creator>
  <cp:lastModifiedBy>Yasangi Wijerathne</cp:lastModifiedBy>
  <dcterms:modified xsi:type="dcterms:W3CDTF">2026-01-15T12:17:51Z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BDA09F64454247AA8349689086B7FC57_13</vt:lpwstr>
  </property>
  <property fmtid="{D5CDD505-2E9C-101B-9397-08002B2CF9AE}" pid="4" name="GrammarlyDocumentId">
    <vt:lpwstr>43cba7e8-e20a-45ea-9729-c54f6284c151</vt:lpwstr>
  </property>
</Properties>
</file>