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A5C0" w14:textId="67DB724A" w:rsidR="005E6D42" w:rsidRPr="00EB50CD" w:rsidRDefault="005B7082" w:rsidP="005E6D42">
      <w:pPr>
        <w:spacing w:after="0" w:line="240" w:lineRule="auto"/>
        <w:jc w:val="center"/>
        <w:rPr>
          <w:rFonts w:ascii="Times New Roman" w:hAnsi="Times New Roman" w:cs="Times New Roman"/>
          <w:b/>
          <w:bCs/>
          <w:sz w:val="28"/>
          <w:szCs w:val="28"/>
        </w:rPr>
      </w:pPr>
      <w:r w:rsidRPr="005B7082">
        <w:rPr>
          <w:rFonts w:ascii="Times New Roman" w:hAnsi="Times New Roman" w:cs="Times New Roman"/>
          <w:b/>
          <w:bCs/>
          <w:sz w:val="28"/>
          <w:szCs w:val="28"/>
        </w:rPr>
        <w:t>Development of a Gluten-Free Fibre- and Iron-Rich Snack Bar Using Palmyrah Tuber Flour</w:t>
      </w:r>
    </w:p>
    <w:p w14:paraId="4D4198D5" w14:textId="77777777" w:rsidR="005E6D42" w:rsidRPr="005F350C" w:rsidRDefault="005E6D42" w:rsidP="005E6D42">
      <w:pPr>
        <w:spacing w:after="0" w:line="360" w:lineRule="auto"/>
        <w:jc w:val="center"/>
        <w:rPr>
          <w:rFonts w:ascii="Times New Roman" w:hAnsi="Times New Roman" w:cs="Times New Roman"/>
          <w:color w:val="000000" w:themeColor="text1"/>
        </w:rPr>
      </w:pPr>
      <w:r w:rsidRPr="00EB50CD">
        <w:rPr>
          <w:rFonts w:ascii="Times New Roman" w:hAnsi="Times New Roman" w:cs="Times New Roman"/>
          <w:iCs/>
          <w:u w:val="single"/>
        </w:rPr>
        <w:t>S. Luxcika</w:t>
      </w:r>
      <w:r w:rsidRPr="00EB50CD">
        <w:rPr>
          <w:rFonts w:ascii="Times New Roman" w:hAnsi="Times New Roman" w:cs="Times New Roman"/>
          <w:iCs/>
          <w:u w:val="single"/>
          <w:vertAlign w:val="superscript"/>
        </w:rPr>
        <w:t>1</w:t>
      </w:r>
      <w:r w:rsidRPr="00EB50CD">
        <w:rPr>
          <w:rFonts w:ascii="Times New Roman" w:hAnsi="Times New Roman" w:cs="Times New Roman"/>
          <w:iCs/>
          <w:u w:val="single"/>
        </w:rPr>
        <w:t>*</w:t>
      </w:r>
      <w:r w:rsidRPr="005F350C">
        <w:rPr>
          <w:rFonts w:ascii="Times New Roman" w:hAnsi="Times New Roman" w:cs="Times New Roman"/>
          <w:iCs/>
        </w:rPr>
        <w:t>, T. Kirushanthi</w:t>
      </w:r>
      <w:r w:rsidRPr="005F350C">
        <w:rPr>
          <w:rFonts w:ascii="Times New Roman" w:hAnsi="Times New Roman" w:cs="Times New Roman"/>
          <w:color w:val="000000" w:themeColor="text1"/>
          <w:vertAlign w:val="superscript"/>
        </w:rPr>
        <w:t>2</w:t>
      </w:r>
      <w:r w:rsidRPr="005F350C">
        <w:rPr>
          <w:rFonts w:ascii="Times New Roman" w:hAnsi="Times New Roman" w:cs="Times New Roman"/>
          <w:iCs/>
        </w:rPr>
        <w:t xml:space="preserve"> </w:t>
      </w:r>
      <w:r>
        <w:rPr>
          <w:rFonts w:ascii="Times New Roman" w:hAnsi="Times New Roman" w:cs="Times New Roman"/>
          <w:iCs/>
        </w:rPr>
        <w:t xml:space="preserve">and </w:t>
      </w:r>
      <w:r w:rsidRPr="005F350C">
        <w:rPr>
          <w:rFonts w:ascii="Times New Roman" w:hAnsi="Times New Roman" w:cs="Times New Roman"/>
          <w:iCs/>
        </w:rPr>
        <w:t xml:space="preserve">P. </w:t>
      </w:r>
      <w:proofErr w:type="spellStart"/>
      <w:r w:rsidRPr="005F350C">
        <w:rPr>
          <w:rFonts w:ascii="Times New Roman" w:hAnsi="Times New Roman" w:cs="Times New Roman"/>
          <w:iCs/>
        </w:rPr>
        <w:t>Wattage</w:t>
      </w:r>
      <w:r w:rsidRPr="005F350C">
        <w:rPr>
          <w:rFonts w:ascii="Times New Roman" w:hAnsi="Times New Roman" w:cs="Times New Roman"/>
          <w:color w:val="000000" w:themeColor="text1"/>
          <w:vertAlign w:val="superscript"/>
        </w:rPr>
        <w:t>l</w:t>
      </w:r>
      <w:proofErr w:type="spellEnd"/>
      <w:r w:rsidRPr="005F350C">
        <w:rPr>
          <w:rFonts w:ascii="Times New Roman" w:hAnsi="Times New Roman" w:cs="Times New Roman"/>
          <w:iCs/>
        </w:rPr>
        <w:t xml:space="preserve"> </w:t>
      </w:r>
    </w:p>
    <w:p w14:paraId="6890F460" w14:textId="77777777" w:rsidR="005E6D42" w:rsidRPr="005F350C" w:rsidRDefault="005E6D42" w:rsidP="005E6D42">
      <w:pPr>
        <w:pStyle w:val="AbstractText"/>
        <w:spacing w:line="360" w:lineRule="auto"/>
        <w:jc w:val="center"/>
        <w:rPr>
          <w:color w:val="000000"/>
          <w:szCs w:val="24"/>
          <w:vertAlign w:val="superscript"/>
        </w:rPr>
      </w:pPr>
      <w:r w:rsidRPr="005F350C">
        <w:rPr>
          <w:color w:val="000000"/>
          <w:szCs w:val="24"/>
          <w:vertAlign w:val="superscript"/>
        </w:rPr>
        <w:t>1</w:t>
      </w:r>
      <w:r w:rsidRPr="005F350C">
        <w:rPr>
          <w:color w:val="000000"/>
          <w:szCs w:val="24"/>
        </w:rPr>
        <w:t>Department of Agribusiness Management, Fa</w:t>
      </w:r>
      <w:r>
        <w:rPr>
          <w:color w:val="000000"/>
          <w:szCs w:val="24"/>
        </w:rPr>
        <w:t xml:space="preserve">culty of Agricultural Sciences, </w:t>
      </w:r>
      <w:r w:rsidRPr="005F350C">
        <w:rPr>
          <w:color w:val="000000"/>
          <w:szCs w:val="24"/>
        </w:rPr>
        <w:t>Sabaragamuwa University of Sri Lanka.</w:t>
      </w:r>
      <w:r w:rsidRPr="005F350C">
        <w:rPr>
          <w:color w:val="000000"/>
          <w:szCs w:val="24"/>
        </w:rPr>
        <w:br/>
      </w:r>
      <w:r w:rsidRPr="005F350C">
        <w:rPr>
          <w:iCs/>
          <w:szCs w:val="24"/>
          <w:vertAlign w:val="superscript"/>
        </w:rPr>
        <w:t>2</w:t>
      </w:r>
      <w:r w:rsidRPr="005F350C">
        <w:rPr>
          <w:iCs/>
          <w:szCs w:val="24"/>
        </w:rPr>
        <w:t>Palmy</w:t>
      </w:r>
      <w:r>
        <w:rPr>
          <w:iCs/>
          <w:szCs w:val="24"/>
        </w:rPr>
        <w:t xml:space="preserve">rah Research Institute, Palmyrah Development Board, Kandy Road, </w:t>
      </w:r>
      <w:proofErr w:type="spellStart"/>
      <w:r>
        <w:rPr>
          <w:iCs/>
          <w:szCs w:val="24"/>
        </w:rPr>
        <w:t>Kaithady</w:t>
      </w:r>
      <w:proofErr w:type="spellEnd"/>
      <w:r w:rsidRPr="005F350C">
        <w:rPr>
          <w:iCs/>
          <w:szCs w:val="24"/>
        </w:rPr>
        <w:t>, Jaffna</w:t>
      </w:r>
      <w:r>
        <w:rPr>
          <w:iCs/>
          <w:szCs w:val="24"/>
        </w:rPr>
        <w:t>.</w:t>
      </w:r>
    </w:p>
    <w:p w14:paraId="1BFBEE47" w14:textId="77777777" w:rsidR="005E6D42" w:rsidRPr="005F350C" w:rsidRDefault="005E6D42" w:rsidP="005E6D42">
      <w:pPr>
        <w:pStyle w:val="AbstractText"/>
        <w:tabs>
          <w:tab w:val="clear" w:pos="8640"/>
        </w:tabs>
        <w:spacing w:line="360" w:lineRule="auto"/>
        <w:jc w:val="center"/>
        <w:rPr>
          <w:i/>
          <w:iCs/>
          <w:szCs w:val="24"/>
        </w:rPr>
      </w:pPr>
      <w:r w:rsidRPr="005F350C">
        <w:rPr>
          <w:i/>
          <w:iCs/>
          <w:szCs w:val="24"/>
        </w:rPr>
        <w:t>*</w:t>
      </w:r>
      <w:r>
        <w:rPr>
          <w:i/>
          <w:iCs/>
          <w:szCs w:val="24"/>
        </w:rPr>
        <w:t xml:space="preserve">Corresponding author: </w:t>
      </w:r>
      <w:r w:rsidRPr="005F350C">
        <w:rPr>
          <w:i/>
          <w:iCs/>
          <w:szCs w:val="24"/>
        </w:rPr>
        <w:t xml:space="preserve"> </w:t>
      </w:r>
      <w:hyperlink r:id="rId4" w:history="1">
        <w:r w:rsidRPr="005F350C">
          <w:rPr>
            <w:rStyle w:val="Hyperlink"/>
            <w:i/>
            <w:iCs/>
            <w:szCs w:val="24"/>
          </w:rPr>
          <w:t>10lux20mar@gmail.com</w:t>
        </w:r>
      </w:hyperlink>
    </w:p>
    <w:p w14:paraId="34F16F93" w14:textId="5A170E77" w:rsidR="0089598F" w:rsidRPr="003C43AB" w:rsidRDefault="0089598F" w:rsidP="0089598F">
      <w:pPr>
        <w:spacing w:line="360" w:lineRule="auto"/>
        <w:jc w:val="both"/>
        <w:rPr>
          <w:rFonts w:ascii="Times New Roman" w:hAnsi="Times New Roman" w:cs="Times New Roman"/>
        </w:rPr>
      </w:pPr>
      <w:bookmarkStart w:id="0" w:name="_Hlk218039795"/>
      <w:bookmarkStart w:id="1" w:name="_Hlk218103534"/>
      <w:bookmarkStart w:id="2" w:name="_Hlk218030810"/>
      <w:r w:rsidRPr="003C43AB">
        <w:rPr>
          <w:rFonts w:ascii="Times New Roman" w:hAnsi="Times New Roman" w:cs="Times New Roman"/>
        </w:rPr>
        <w:t>The Palmyrah palm (</w:t>
      </w:r>
      <w:r w:rsidRPr="005B3D81">
        <w:rPr>
          <w:rFonts w:ascii="Times New Roman" w:hAnsi="Times New Roman" w:cs="Times New Roman"/>
          <w:i/>
          <w:iCs/>
        </w:rPr>
        <w:t>Borassus flabellifer L</w:t>
      </w:r>
      <w:r w:rsidRPr="003C43AB">
        <w:rPr>
          <w:rFonts w:ascii="Times New Roman" w:hAnsi="Times New Roman" w:cs="Times New Roman"/>
        </w:rPr>
        <w:t xml:space="preserve">.) is a perennial arboreal species belonging to the family Arecaceae and the order Arecales. In Sri Lanka, the species is predominantly distributed across the Northern Province, particularly in the districts of Jaffna, Kilinochchi, Mullaitivu, Vavuniya, and Mannar, where it is well adapted to dry zone. The Palmyrah palm is </w:t>
      </w:r>
      <w:proofErr w:type="spellStart"/>
      <w:r w:rsidRPr="003C43AB">
        <w:rPr>
          <w:rFonts w:ascii="Times New Roman" w:hAnsi="Times New Roman" w:cs="Times New Roman"/>
        </w:rPr>
        <w:t>recognised</w:t>
      </w:r>
      <w:proofErr w:type="spellEnd"/>
      <w:r w:rsidRPr="003C43AB">
        <w:rPr>
          <w:rFonts w:ascii="Times New Roman" w:hAnsi="Times New Roman" w:cs="Times New Roman"/>
        </w:rPr>
        <w:t xml:space="preserve"> as a multipurpose plant, as its tubers, fruits, sap, leaves, and seeds are extensively utilised for food products, construction materials, handicrafts, traditional medicinal applications, and ecological services (Subajini </w:t>
      </w:r>
      <w:proofErr w:type="spellStart"/>
      <w:r w:rsidRPr="003C43AB">
        <w:rPr>
          <w:rFonts w:ascii="Times New Roman" w:hAnsi="Times New Roman" w:cs="Times New Roman"/>
        </w:rPr>
        <w:t>Mahilrajan</w:t>
      </w:r>
      <w:proofErr w:type="spellEnd"/>
      <w:r w:rsidRPr="003C43AB">
        <w:rPr>
          <w:rFonts w:ascii="Times New Roman" w:hAnsi="Times New Roman" w:cs="Times New Roman"/>
        </w:rPr>
        <w:t xml:space="preserve">, Suganja </w:t>
      </w:r>
      <w:proofErr w:type="spellStart"/>
      <w:r w:rsidRPr="003C43AB">
        <w:rPr>
          <w:rFonts w:ascii="Times New Roman" w:hAnsi="Times New Roman" w:cs="Times New Roman"/>
        </w:rPr>
        <w:t>Thuraisingam</w:t>
      </w:r>
      <w:proofErr w:type="spellEnd"/>
      <w:r w:rsidRPr="003C43AB">
        <w:rPr>
          <w:rFonts w:ascii="Times New Roman" w:hAnsi="Times New Roman" w:cs="Times New Roman"/>
        </w:rPr>
        <w:t xml:space="preserve"> &amp; Jasotha </w:t>
      </w:r>
      <w:proofErr w:type="spellStart"/>
      <w:r w:rsidRPr="003C43AB">
        <w:rPr>
          <w:rFonts w:ascii="Times New Roman" w:hAnsi="Times New Roman" w:cs="Times New Roman"/>
        </w:rPr>
        <w:t>Prabagar</w:t>
      </w:r>
      <w:proofErr w:type="spellEnd"/>
      <w:r w:rsidRPr="003C43AB">
        <w:rPr>
          <w:rFonts w:ascii="Times New Roman" w:hAnsi="Times New Roman" w:cs="Times New Roman"/>
        </w:rPr>
        <w:t>, 2024).</w:t>
      </w:r>
      <w:r w:rsidRPr="0089598F">
        <w:rPr>
          <w:rFonts w:ascii="Times New Roman" w:hAnsi="Times New Roman" w:cs="Times New Roman"/>
        </w:rPr>
        <w:t xml:space="preserve"> </w:t>
      </w:r>
      <w:r w:rsidRPr="003C43AB">
        <w:rPr>
          <w:rFonts w:ascii="Times New Roman" w:hAnsi="Times New Roman" w:cs="Times New Roman"/>
        </w:rPr>
        <w:t xml:space="preserve">Palmyrah tuber flour is obtained from the </w:t>
      </w:r>
      <w:r w:rsidRPr="0089598F">
        <w:rPr>
          <w:rFonts w:ascii="Times New Roman" w:hAnsi="Times New Roman" w:cs="Times New Roman"/>
        </w:rPr>
        <w:t xml:space="preserve">fresh </w:t>
      </w:r>
      <w:r w:rsidRPr="003C43AB">
        <w:rPr>
          <w:rFonts w:ascii="Times New Roman" w:hAnsi="Times New Roman" w:cs="Times New Roman"/>
        </w:rPr>
        <w:t>tuber shoot</w:t>
      </w:r>
      <w:r w:rsidRPr="0089598F">
        <w:rPr>
          <w:rFonts w:ascii="Times New Roman" w:hAnsi="Times New Roman" w:cs="Times New Roman"/>
        </w:rPr>
        <w:t>s</w:t>
      </w:r>
      <w:r w:rsidRPr="003C43AB">
        <w:rPr>
          <w:rFonts w:ascii="Times New Roman" w:hAnsi="Times New Roman" w:cs="Times New Roman"/>
        </w:rPr>
        <w:t>. two main types of flour are produced</w:t>
      </w:r>
      <w:r w:rsidRPr="0089598F">
        <w:rPr>
          <w:rFonts w:ascii="Times New Roman" w:hAnsi="Times New Roman" w:cs="Times New Roman"/>
        </w:rPr>
        <w:t xml:space="preserve"> -</w:t>
      </w:r>
      <w:r w:rsidRPr="003C43AB">
        <w:rPr>
          <w:rFonts w:ascii="Times New Roman" w:hAnsi="Times New Roman" w:cs="Times New Roman"/>
        </w:rPr>
        <w:t xml:space="preserve"> Odiyal flour, which is prepared from raw tubers, and Pulukodiyal flour, which is produced from tubers that have been boiled </w:t>
      </w:r>
      <w:r w:rsidRPr="0089598F">
        <w:rPr>
          <w:rFonts w:ascii="Times New Roman" w:hAnsi="Times New Roman" w:cs="Times New Roman"/>
        </w:rPr>
        <w:t>before</w:t>
      </w:r>
      <w:r w:rsidRPr="003C43AB">
        <w:rPr>
          <w:rFonts w:ascii="Times New Roman" w:hAnsi="Times New Roman" w:cs="Times New Roman"/>
        </w:rPr>
        <w:t xml:space="preserve"> drying and milling. These flours are commonly available in major markets across Northern Sri Lanka and are valued for their nutritional properties, particularly their high dietary fibre content.</w:t>
      </w:r>
    </w:p>
    <w:p w14:paraId="2D5217D8" w14:textId="77777777" w:rsidR="0089598F" w:rsidRPr="003C43AB" w:rsidRDefault="0089598F" w:rsidP="0089598F">
      <w:pPr>
        <w:spacing w:line="360" w:lineRule="auto"/>
        <w:jc w:val="both"/>
        <w:rPr>
          <w:rFonts w:ascii="Times New Roman" w:hAnsi="Times New Roman" w:cs="Times New Roman"/>
        </w:rPr>
      </w:pPr>
      <w:r w:rsidRPr="003C43AB">
        <w:rPr>
          <w:rFonts w:ascii="Times New Roman" w:hAnsi="Times New Roman" w:cs="Times New Roman"/>
        </w:rPr>
        <w:t xml:space="preserve">Snack bars, also </w:t>
      </w:r>
      <w:r w:rsidRPr="0089598F">
        <w:rPr>
          <w:rFonts w:ascii="Times New Roman" w:hAnsi="Times New Roman" w:cs="Times New Roman"/>
        </w:rPr>
        <w:t xml:space="preserve">known </w:t>
      </w:r>
      <w:r w:rsidRPr="003C43AB">
        <w:rPr>
          <w:rFonts w:ascii="Times New Roman" w:hAnsi="Times New Roman" w:cs="Times New Roman"/>
        </w:rPr>
        <w:t xml:space="preserve">as energy bars, are compact, nutrient-dense food products designed to provide convenient energy and essential nutrients (Mathur, 2021). The growing consumer demand for nutritious and convenient </w:t>
      </w:r>
      <w:r w:rsidRPr="0089598F">
        <w:rPr>
          <w:rFonts w:ascii="Times New Roman" w:hAnsi="Times New Roman" w:cs="Times New Roman"/>
        </w:rPr>
        <w:t>food</w:t>
      </w:r>
      <w:r w:rsidRPr="003C43AB">
        <w:rPr>
          <w:rFonts w:ascii="Times New Roman" w:hAnsi="Times New Roman" w:cs="Times New Roman"/>
        </w:rPr>
        <w:t xml:space="preserve"> options has encouraged food manufacturers to develop functional </w:t>
      </w:r>
      <w:r w:rsidRPr="0089598F">
        <w:rPr>
          <w:rFonts w:ascii="Times New Roman" w:hAnsi="Times New Roman" w:cs="Times New Roman"/>
        </w:rPr>
        <w:t>snacks</w:t>
      </w:r>
      <w:r w:rsidRPr="003C43AB">
        <w:rPr>
          <w:rFonts w:ascii="Times New Roman" w:hAnsi="Times New Roman" w:cs="Times New Roman"/>
        </w:rPr>
        <w:t xml:space="preserve"> that support healthier dietary choices. Moreover, a positive consumer attitude toward healthy foods has been identified as an important precursor to </w:t>
      </w:r>
      <w:proofErr w:type="spellStart"/>
      <w:r w:rsidRPr="003C43AB">
        <w:rPr>
          <w:rFonts w:ascii="Times New Roman" w:hAnsi="Times New Roman" w:cs="Times New Roman"/>
        </w:rPr>
        <w:t>behavioural</w:t>
      </w:r>
      <w:proofErr w:type="spellEnd"/>
      <w:r w:rsidRPr="003C43AB">
        <w:rPr>
          <w:rFonts w:ascii="Times New Roman" w:hAnsi="Times New Roman" w:cs="Times New Roman"/>
        </w:rPr>
        <w:t xml:space="preserve"> change</w:t>
      </w:r>
      <w:r w:rsidRPr="0089598F">
        <w:rPr>
          <w:rFonts w:ascii="Times New Roman" w:hAnsi="Times New Roman" w:cs="Times New Roman"/>
        </w:rPr>
        <w:t>,</w:t>
      </w:r>
      <w:r w:rsidRPr="003C43AB">
        <w:rPr>
          <w:rFonts w:ascii="Times New Roman" w:hAnsi="Times New Roman" w:cs="Times New Roman"/>
        </w:rPr>
        <w:t xml:space="preserve"> </w:t>
      </w:r>
      <w:proofErr w:type="spellStart"/>
      <w:r w:rsidRPr="003C43AB">
        <w:rPr>
          <w:rFonts w:ascii="Times New Roman" w:hAnsi="Times New Roman" w:cs="Times New Roman"/>
        </w:rPr>
        <w:t>favouring</w:t>
      </w:r>
      <w:proofErr w:type="spellEnd"/>
      <w:r w:rsidRPr="003C43AB">
        <w:rPr>
          <w:rFonts w:ascii="Times New Roman" w:hAnsi="Times New Roman" w:cs="Times New Roman"/>
        </w:rPr>
        <w:t xml:space="preserve"> improved dietary practices (Chen &amp; </w:t>
      </w:r>
      <w:proofErr w:type="spellStart"/>
      <w:r w:rsidRPr="003C43AB">
        <w:rPr>
          <w:rFonts w:ascii="Times New Roman" w:hAnsi="Times New Roman" w:cs="Times New Roman"/>
        </w:rPr>
        <w:t>Poquet</w:t>
      </w:r>
      <w:proofErr w:type="spellEnd"/>
      <w:r w:rsidRPr="003C43AB">
        <w:rPr>
          <w:rFonts w:ascii="Times New Roman" w:hAnsi="Times New Roman" w:cs="Times New Roman"/>
        </w:rPr>
        <w:t>, 2020).</w:t>
      </w:r>
    </w:p>
    <w:p w14:paraId="696AB496" w14:textId="4308EEC5" w:rsidR="00FE6CAD" w:rsidRPr="00FE6CAD" w:rsidRDefault="0089598F" w:rsidP="00FE6CAD">
      <w:pPr>
        <w:spacing w:line="360" w:lineRule="auto"/>
        <w:jc w:val="both"/>
        <w:rPr>
          <w:rFonts w:ascii="Times New Roman" w:hAnsi="Times New Roman" w:cs="Times New Roman"/>
        </w:rPr>
      </w:pPr>
      <w:r w:rsidRPr="003C43AB">
        <w:rPr>
          <w:rFonts w:ascii="Times New Roman" w:hAnsi="Times New Roman" w:cs="Times New Roman"/>
        </w:rPr>
        <w:t xml:space="preserve">the prevalence of Diabetes Mellitus is increasing at an alarming rate in both developed and developing countries, with projections indicating that the affected population may reach approximately 700 million by 2040 (Dimopoulou et al., 2023). In this context, functional foods have gained prominence due to their role in disease prevention. Ingredients such as Palmyrah tuber flour </w:t>
      </w:r>
      <w:r w:rsidRPr="0089598F">
        <w:rPr>
          <w:rFonts w:ascii="Times New Roman" w:hAnsi="Times New Roman" w:cs="Times New Roman"/>
        </w:rPr>
        <w:t xml:space="preserve">are </w:t>
      </w:r>
      <w:r w:rsidRPr="003C43AB">
        <w:rPr>
          <w:rFonts w:ascii="Times New Roman" w:hAnsi="Times New Roman" w:cs="Times New Roman"/>
        </w:rPr>
        <w:t xml:space="preserve">rich sources of dietary fibre, phenolic compounds, and essential minerals, which contribute to </w:t>
      </w:r>
      <w:r w:rsidRPr="0089598F">
        <w:rPr>
          <w:rFonts w:ascii="Times New Roman" w:hAnsi="Times New Roman" w:cs="Times New Roman"/>
        </w:rPr>
        <w:t xml:space="preserve">low </w:t>
      </w:r>
      <w:proofErr w:type="spellStart"/>
      <w:r w:rsidRPr="003C43AB">
        <w:rPr>
          <w:rFonts w:ascii="Times New Roman" w:hAnsi="Times New Roman" w:cs="Times New Roman"/>
        </w:rPr>
        <w:t>glycaemic</w:t>
      </w:r>
      <w:proofErr w:type="spellEnd"/>
      <w:r w:rsidRPr="003C43AB">
        <w:rPr>
          <w:rFonts w:ascii="Times New Roman" w:hAnsi="Times New Roman" w:cs="Times New Roman"/>
        </w:rPr>
        <w:t xml:space="preserve"> regulation and overall health. Despite its nutritional potential, Palmyrah tuber flour remains </w:t>
      </w:r>
      <w:proofErr w:type="spellStart"/>
      <w:r w:rsidRPr="003C43AB">
        <w:rPr>
          <w:rFonts w:ascii="Times New Roman" w:hAnsi="Times New Roman" w:cs="Times New Roman"/>
        </w:rPr>
        <w:t>underutilised</w:t>
      </w:r>
      <w:proofErr w:type="spellEnd"/>
      <w:r w:rsidRPr="003C43AB">
        <w:rPr>
          <w:rFonts w:ascii="Times New Roman" w:hAnsi="Times New Roman" w:cs="Times New Roman"/>
        </w:rPr>
        <w:t xml:space="preserve"> in value-added food products. Notably, there is currently no </w:t>
      </w:r>
      <w:proofErr w:type="spellStart"/>
      <w:r w:rsidRPr="003C43AB">
        <w:rPr>
          <w:rFonts w:ascii="Times New Roman" w:hAnsi="Times New Roman" w:cs="Times New Roman"/>
        </w:rPr>
        <w:t>standardised</w:t>
      </w:r>
      <w:proofErr w:type="spellEnd"/>
      <w:r w:rsidRPr="003C43AB">
        <w:rPr>
          <w:rFonts w:ascii="Times New Roman" w:hAnsi="Times New Roman" w:cs="Times New Roman"/>
        </w:rPr>
        <w:t xml:space="preserve"> Palmyrah tuber flour–based snack bar available in Sri Lanka. </w:t>
      </w:r>
      <w:r w:rsidRPr="003C43AB">
        <w:rPr>
          <w:rFonts w:ascii="Times New Roman" w:hAnsi="Times New Roman" w:cs="Times New Roman"/>
        </w:rPr>
        <w:lastRenderedPageBreak/>
        <w:t>Therefore, this study aims to develop and evaluate a fibre- and iron-rich gluten-free snack bar using Palmyrah-based ingredients and to assess its nutritional quality, consumer acceptability, and market potential.</w:t>
      </w:r>
    </w:p>
    <w:bookmarkEnd w:id="0"/>
    <w:bookmarkEnd w:id="1"/>
    <w:p w14:paraId="4B641653" w14:textId="77777777" w:rsidR="000810BA" w:rsidRDefault="000810BA" w:rsidP="000810BA">
      <w:pPr>
        <w:spacing w:line="360" w:lineRule="auto"/>
        <w:jc w:val="both"/>
        <w:rPr>
          <w:rFonts w:ascii="Times New Roman" w:hAnsi="Times New Roman" w:cs="Times New Roman"/>
        </w:rPr>
      </w:pPr>
      <w:r w:rsidRPr="003C43AB">
        <w:rPr>
          <w:rFonts w:ascii="Times New Roman" w:hAnsi="Times New Roman" w:cs="Times New Roman"/>
        </w:rPr>
        <w:t>The study focused on the formulation and evaluation of a fibre- and iron-rich gluten-free snack bar using Palmyrah tuber flour as the primary functional ingredient. Product development and laboratory analyses were carried out at the Palmyrah Research Institute (PRI),</w:t>
      </w:r>
      <w:r w:rsidRPr="00B70625">
        <w:rPr>
          <w:rFonts w:ascii="Times New Roman" w:hAnsi="Times New Roman" w:cs="Times New Roman"/>
        </w:rPr>
        <w:t xml:space="preserve"> </w:t>
      </w:r>
      <w:r w:rsidRPr="003C43AB">
        <w:rPr>
          <w:rFonts w:ascii="Times New Roman" w:hAnsi="Times New Roman" w:cs="Times New Roman"/>
        </w:rPr>
        <w:t>Jaffna. Texture profile analysis was conducted at the Faculty of Agricultural Sciences, Sabaragamuwa University of Sri Lanka. The study employed a quantitative research design involving product formulation, laboratory analysis, sensory evaluation, shelf-life testing, and consumer market assessment.</w:t>
      </w:r>
      <w:r w:rsidRPr="00B70625">
        <w:rPr>
          <w:rFonts w:ascii="Times New Roman" w:hAnsi="Times New Roman" w:cs="Times New Roman"/>
        </w:rPr>
        <w:t xml:space="preserve"> </w:t>
      </w:r>
      <w:r w:rsidRPr="003C43AB">
        <w:rPr>
          <w:rFonts w:ascii="Times New Roman" w:hAnsi="Times New Roman" w:cs="Times New Roman"/>
        </w:rPr>
        <w:t xml:space="preserve">Raw materials used in the formulation included Palmyrah tuber flour, jaggery, desiccated coconut, peanuts, sesame seeds, dates, ghee, and salt. These ingredients were procured from the </w:t>
      </w:r>
      <w:proofErr w:type="spellStart"/>
      <w:r w:rsidRPr="003C43AB">
        <w:rPr>
          <w:rFonts w:ascii="Times New Roman" w:hAnsi="Times New Roman" w:cs="Times New Roman"/>
        </w:rPr>
        <w:t>Chavakachcheri</w:t>
      </w:r>
      <w:proofErr w:type="spellEnd"/>
      <w:r w:rsidRPr="003C43AB">
        <w:rPr>
          <w:rFonts w:ascii="Times New Roman" w:hAnsi="Times New Roman" w:cs="Times New Roman"/>
        </w:rPr>
        <w:t xml:space="preserve"> Palm Development Co-operative Society (Ltd.) and local supermarkets. Palmyrah tuber flour was prepared by soaking the tuber material in water for three hours, followed by straining to remove fibrous residues. The material was then </w:t>
      </w:r>
      <w:r>
        <w:rPr>
          <w:rFonts w:ascii="Times New Roman" w:hAnsi="Times New Roman" w:cs="Times New Roman"/>
        </w:rPr>
        <w:t>oven-dried</w:t>
      </w:r>
      <w:r w:rsidRPr="003C43AB">
        <w:rPr>
          <w:rFonts w:ascii="Times New Roman" w:hAnsi="Times New Roman" w:cs="Times New Roman"/>
        </w:rPr>
        <w:t>, roasted, and sieved to obtain a uniform flour suitable for snack bar formulation.</w:t>
      </w:r>
    </w:p>
    <w:p w14:paraId="27453AAA" w14:textId="74EBBA42" w:rsidR="00A1195C" w:rsidRPr="00A1195C" w:rsidRDefault="00A1195C" w:rsidP="00A1195C">
      <w:pPr>
        <w:pStyle w:val="Quote"/>
      </w:pPr>
      <w:r>
        <w:t xml:space="preserve">Table 1: </w:t>
      </w:r>
      <w:r w:rsidRPr="003C43AB">
        <w:rPr>
          <w:rFonts w:ascii="Times New Roman" w:hAnsi="Times New Roman" w:cs="Times New Roman"/>
        </w:rPr>
        <w:t xml:space="preserve">Four snack bar formulations </w:t>
      </w:r>
    </w:p>
    <w:tbl>
      <w:tblPr>
        <w:tblStyle w:val="TableGrid"/>
        <w:tblW w:w="0" w:type="auto"/>
        <w:tblLook w:val="04A0" w:firstRow="1" w:lastRow="0" w:firstColumn="1" w:lastColumn="0" w:noHBand="0" w:noVBand="1"/>
      </w:tblPr>
      <w:tblGrid>
        <w:gridCol w:w="3415"/>
        <w:gridCol w:w="1350"/>
        <w:gridCol w:w="1530"/>
        <w:gridCol w:w="1260"/>
        <w:gridCol w:w="1462"/>
      </w:tblGrid>
      <w:tr w:rsidR="000B7B8B" w:rsidRPr="000B7B8B" w14:paraId="07C2BD61" w14:textId="77777777" w:rsidTr="000B7B8B">
        <w:tc>
          <w:tcPr>
            <w:tcW w:w="3415" w:type="dxa"/>
            <w:vMerge w:val="restart"/>
            <w:vAlign w:val="center"/>
          </w:tcPr>
          <w:p w14:paraId="2274A6A9" w14:textId="5F258BEE" w:rsidR="000B7B8B" w:rsidRPr="000B7B8B" w:rsidRDefault="000B7B8B" w:rsidP="000B7B8B">
            <w:pPr>
              <w:spacing w:line="360" w:lineRule="auto"/>
              <w:jc w:val="center"/>
              <w:rPr>
                <w:rFonts w:ascii="Times New Roman" w:hAnsi="Times New Roman" w:cs="Times New Roman"/>
              </w:rPr>
            </w:pPr>
            <w:r w:rsidRPr="000B7B8B">
              <w:rPr>
                <w:rFonts w:ascii="Times New Roman" w:hAnsi="Times New Roman" w:cs="Times New Roman"/>
                <w:b/>
                <w:bCs/>
              </w:rPr>
              <w:t>Ingredients(g)</w:t>
            </w:r>
          </w:p>
        </w:tc>
        <w:tc>
          <w:tcPr>
            <w:tcW w:w="5602" w:type="dxa"/>
            <w:gridSpan w:val="4"/>
            <w:vAlign w:val="center"/>
          </w:tcPr>
          <w:p w14:paraId="2F95253F" w14:textId="5A5E06BB" w:rsidR="000B7B8B" w:rsidRPr="000B7B8B" w:rsidRDefault="000B7B8B" w:rsidP="000B7B8B">
            <w:pPr>
              <w:spacing w:line="360" w:lineRule="auto"/>
              <w:jc w:val="center"/>
              <w:rPr>
                <w:rFonts w:ascii="Times New Roman" w:hAnsi="Times New Roman" w:cs="Times New Roman"/>
              </w:rPr>
            </w:pPr>
            <w:r w:rsidRPr="000B7B8B">
              <w:rPr>
                <w:rFonts w:ascii="Times New Roman" w:hAnsi="Times New Roman" w:cs="Times New Roman"/>
                <w:b/>
                <w:bCs/>
              </w:rPr>
              <w:t>Snack bar formulas</w:t>
            </w:r>
          </w:p>
        </w:tc>
      </w:tr>
      <w:tr w:rsidR="000B7B8B" w:rsidRPr="000B7B8B" w14:paraId="79C900CE" w14:textId="77777777" w:rsidTr="00727177">
        <w:tc>
          <w:tcPr>
            <w:tcW w:w="3415" w:type="dxa"/>
            <w:vMerge/>
          </w:tcPr>
          <w:p w14:paraId="54E7DD65" w14:textId="77777777" w:rsidR="000B7B8B" w:rsidRPr="000B7B8B" w:rsidRDefault="000B7B8B" w:rsidP="000810BA">
            <w:pPr>
              <w:spacing w:line="360" w:lineRule="auto"/>
              <w:jc w:val="both"/>
              <w:rPr>
                <w:rFonts w:ascii="Times New Roman" w:hAnsi="Times New Roman" w:cs="Times New Roman"/>
              </w:rPr>
            </w:pPr>
          </w:p>
        </w:tc>
        <w:tc>
          <w:tcPr>
            <w:tcW w:w="1350" w:type="dxa"/>
          </w:tcPr>
          <w:p w14:paraId="5E255D82" w14:textId="2E67E100" w:rsidR="000B7B8B" w:rsidRPr="000B7B8B" w:rsidRDefault="000B7B8B" w:rsidP="00727177">
            <w:pPr>
              <w:spacing w:line="360" w:lineRule="auto"/>
              <w:jc w:val="center"/>
              <w:rPr>
                <w:rFonts w:ascii="Times New Roman" w:hAnsi="Times New Roman" w:cs="Times New Roman"/>
              </w:rPr>
            </w:pPr>
            <w:r w:rsidRPr="000B7B8B">
              <w:rPr>
                <w:rFonts w:ascii="Times New Roman" w:hAnsi="Times New Roman" w:cs="Times New Roman"/>
                <w:b/>
                <w:bCs/>
              </w:rPr>
              <w:t>(F1)</w:t>
            </w:r>
          </w:p>
        </w:tc>
        <w:tc>
          <w:tcPr>
            <w:tcW w:w="1530" w:type="dxa"/>
          </w:tcPr>
          <w:p w14:paraId="5A811AB1" w14:textId="075DA752" w:rsidR="000B7B8B" w:rsidRPr="000B7B8B" w:rsidRDefault="000B7B8B" w:rsidP="00727177">
            <w:pPr>
              <w:spacing w:line="360" w:lineRule="auto"/>
              <w:jc w:val="center"/>
              <w:rPr>
                <w:rFonts w:ascii="Times New Roman" w:hAnsi="Times New Roman" w:cs="Times New Roman"/>
              </w:rPr>
            </w:pPr>
            <w:r w:rsidRPr="000B7B8B">
              <w:rPr>
                <w:rFonts w:ascii="Times New Roman" w:hAnsi="Times New Roman" w:cs="Times New Roman"/>
                <w:b/>
                <w:bCs/>
              </w:rPr>
              <w:t>(F2)</w:t>
            </w:r>
          </w:p>
        </w:tc>
        <w:tc>
          <w:tcPr>
            <w:tcW w:w="1260" w:type="dxa"/>
            <w:shd w:val="clear" w:color="auto" w:fill="AAE571"/>
          </w:tcPr>
          <w:p w14:paraId="25E9E9AB" w14:textId="64803DC1" w:rsidR="000B7B8B" w:rsidRPr="000B7B8B" w:rsidRDefault="000B7B8B" w:rsidP="00727177">
            <w:pPr>
              <w:spacing w:line="360" w:lineRule="auto"/>
              <w:jc w:val="center"/>
              <w:rPr>
                <w:rFonts w:ascii="Times New Roman" w:hAnsi="Times New Roman" w:cs="Times New Roman"/>
              </w:rPr>
            </w:pPr>
            <w:r w:rsidRPr="000B7B8B">
              <w:rPr>
                <w:rFonts w:ascii="Times New Roman" w:hAnsi="Times New Roman" w:cs="Times New Roman"/>
                <w:b/>
                <w:bCs/>
              </w:rPr>
              <w:t>(F3)</w:t>
            </w:r>
          </w:p>
        </w:tc>
        <w:tc>
          <w:tcPr>
            <w:tcW w:w="1462" w:type="dxa"/>
          </w:tcPr>
          <w:p w14:paraId="19B61825" w14:textId="0B47A2F3" w:rsidR="000B7B8B" w:rsidRPr="000B7B8B" w:rsidRDefault="000B7B8B" w:rsidP="00727177">
            <w:pPr>
              <w:spacing w:line="360" w:lineRule="auto"/>
              <w:jc w:val="center"/>
              <w:rPr>
                <w:rFonts w:ascii="Times New Roman" w:hAnsi="Times New Roman" w:cs="Times New Roman"/>
              </w:rPr>
            </w:pPr>
            <w:r w:rsidRPr="000B7B8B">
              <w:rPr>
                <w:rFonts w:ascii="Times New Roman" w:hAnsi="Times New Roman" w:cs="Times New Roman"/>
                <w:b/>
                <w:bCs/>
              </w:rPr>
              <w:t>(F4)</w:t>
            </w:r>
          </w:p>
        </w:tc>
      </w:tr>
      <w:tr w:rsidR="000B7B8B" w:rsidRPr="000B7B8B" w14:paraId="67977E09" w14:textId="77777777" w:rsidTr="00727177">
        <w:tc>
          <w:tcPr>
            <w:tcW w:w="3415" w:type="dxa"/>
          </w:tcPr>
          <w:p w14:paraId="6B9564A5" w14:textId="68102B8D" w:rsidR="000B7B8B" w:rsidRPr="000B7B8B" w:rsidRDefault="000B7B8B" w:rsidP="000810BA">
            <w:pPr>
              <w:spacing w:line="360" w:lineRule="auto"/>
              <w:jc w:val="both"/>
              <w:rPr>
                <w:rFonts w:ascii="Times New Roman" w:hAnsi="Times New Roman" w:cs="Times New Roman"/>
              </w:rPr>
            </w:pPr>
            <w:r w:rsidRPr="000B7B8B">
              <w:rPr>
                <w:rFonts w:ascii="Times New Roman" w:hAnsi="Times New Roman" w:cs="Times New Roman"/>
              </w:rPr>
              <w:t>Rosted Tuber flour</w:t>
            </w:r>
          </w:p>
        </w:tc>
        <w:tc>
          <w:tcPr>
            <w:tcW w:w="1350" w:type="dxa"/>
          </w:tcPr>
          <w:p w14:paraId="5D42F0B2" w14:textId="7646F1D9"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10g</w:t>
            </w:r>
          </w:p>
        </w:tc>
        <w:tc>
          <w:tcPr>
            <w:tcW w:w="1530" w:type="dxa"/>
          </w:tcPr>
          <w:p w14:paraId="6C18C616" w14:textId="4EC83536"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2</w:t>
            </w:r>
            <w:r w:rsidRPr="000B7B8B">
              <w:rPr>
                <w:rFonts w:ascii="Times New Roman" w:hAnsi="Times New Roman" w:cs="Times New Roman"/>
                <w:b/>
                <w:bCs/>
              </w:rPr>
              <w:t>0g</w:t>
            </w:r>
          </w:p>
        </w:tc>
        <w:tc>
          <w:tcPr>
            <w:tcW w:w="1260" w:type="dxa"/>
            <w:shd w:val="clear" w:color="auto" w:fill="AAE571"/>
          </w:tcPr>
          <w:p w14:paraId="0D7429A4" w14:textId="609F453A"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25</w:t>
            </w:r>
            <w:r w:rsidRPr="000B7B8B">
              <w:rPr>
                <w:rFonts w:ascii="Times New Roman" w:hAnsi="Times New Roman" w:cs="Times New Roman"/>
                <w:b/>
                <w:bCs/>
              </w:rPr>
              <w:t>g</w:t>
            </w:r>
          </w:p>
        </w:tc>
        <w:tc>
          <w:tcPr>
            <w:tcW w:w="1462" w:type="dxa"/>
          </w:tcPr>
          <w:p w14:paraId="3C6E1E91" w14:textId="158F43E9"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30</w:t>
            </w:r>
            <w:r w:rsidRPr="000B7B8B">
              <w:rPr>
                <w:rFonts w:ascii="Times New Roman" w:hAnsi="Times New Roman" w:cs="Times New Roman"/>
                <w:b/>
                <w:bCs/>
              </w:rPr>
              <w:t>g</w:t>
            </w:r>
          </w:p>
        </w:tc>
      </w:tr>
      <w:tr w:rsidR="000B7B8B" w:rsidRPr="000B7B8B" w14:paraId="09712286" w14:textId="77777777" w:rsidTr="00727177">
        <w:tc>
          <w:tcPr>
            <w:tcW w:w="3415" w:type="dxa"/>
          </w:tcPr>
          <w:p w14:paraId="4C924623" w14:textId="12F881BA" w:rsidR="000B7B8B" w:rsidRPr="000B7B8B" w:rsidRDefault="000B7B8B" w:rsidP="000B7B8B">
            <w:pPr>
              <w:spacing w:line="360" w:lineRule="auto"/>
              <w:rPr>
                <w:rFonts w:ascii="Times New Roman" w:hAnsi="Times New Roman" w:cs="Times New Roman"/>
              </w:rPr>
            </w:pPr>
            <w:r w:rsidRPr="000B7B8B">
              <w:rPr>
                <w:rFonts w:ascii="Times New Roman" w:hAnsi="Times New Roman" w:cs="Times New Roman"/>
              </w:rPr>
              <w:t xml:space="preserve">Grated and Roasted Coconut </w:t>
            </w:r>
          </w:p>
        </w:tc>
        <w:tc>
          <w:tcPr>
            <w:tcW w:w="1350" w:type="dxa"/>
          </w:tcPr>
          <w:p w14:paraId="22998967" w14:textId="7C377315"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530" w:type="dxa"/>
          </w:tcPr>
          <w:p w14:paraId="77390257" w14:textId="6AA04B18"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260" w:type="dxa"/>
            <w:shd w:val="clear" w:color="auto" w:fill="AAE571"/>
          </w:tcPr>
          <w:p w14:paraId="611BC036" w14:textId="336D1125"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462" w:type="dxa"/>
          </w:tcPr>
          <w:p w14:paraId="00A9B428" w14:textId="6E8A1FC7"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r>
      <w:tr w:rsidR="000B7B8B" w:rsidRPr="000B7B8B" w14:paraId="50907822" w14:textId="77777777" w:rsidTr="00727177">
        <w:tc>
          <w:tcPr>
            <w:tcW w:w="3415" w:type="dxa"/>
          </w:tcPr>
          <w:p w14:paraId="031E2347" w14:textId="26A2B1BD"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Peanut powder</w:t>
            </w:r>
          </w:p>
        </w:tc>
        <w:tc>
          <w:tcPr>
            <w:tcW w:w="1350" w:type="dxa"/>
          </w:tcPr>
          <w:p w14:paraId="363C1A2F" w14:textId="0E44B098"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530" w:type="dxa"/>
          </w:tcPr>
          <w:p w14:paraId="3AC54A2E" w14:textId="226DBF46"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260" w:type="dxa"/>
            <w:shd w:val="clear" w:color="auto" w:fill="AAE571"/>
          </w:tcPr>
          <w:p w14:paraId="3DBB8DAB" w14:textId="7A378278"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462" w:type="dxa"/>
          </w:tcPr>
          <w:p w14:paraId="5F36B37C" w14:textId="43F1FC2B"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r>
      <w:tr w:rsidR="000B7B8B" w:rsidRPr="000B7B8B" w14:paraId="1FEB9E09" w14:textId="77777777" w:rsidTr="00727177">
        <w:tc>
          <w:tcPr>
            <w:tcW w:w="3415" w:type="dxa"/>
          </w:tcPr>
          <w:p w14:paraId="79175FEA" w14:textId="7AE6A3C5"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Salt</w:t>
            </w:r>
          </w:p>
        </w:tc>
        <w:tc>
          <w:tcPr>
            <w:tcW w:w="1350" w:type="dxa"/>
          </w:tcPr>
          <w:p w14:paraId="10C7939D" w14:textId="52C9440E"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0.3g</w:t>
            </w:r>
          </w:p>
        </w:tc>
        <w:tc>
          <w:tcPr>
            <w:tcW w:w="1530" w:type="dxa"/>
          </w:tcPr>
          <w:p w14:paraId="5376AE66" w14:textId="674F94F4"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0.3g</w:t>
            </w:r>
          </w:p>
        </w:tc>
        <w:tc>
          <w:tcPr>
            <w:tcW w:w="1260" w:type="dxa"/>
            <w:shd w:val="clear" w:color="auto" w:fill="AAE571"/>
          </w:tcPr>
          <w:p w14:paraId="0B0D5A05" w14:textId="3E95211E"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0.3g</w:t>
            </w:r>
          </w:p>
        </w:tc>
        <w:tc>
          <w:tcPr>
            <w:tcW w:w="1462" w:type="dxa"/>
          </w:tcPr>
          <w:p w14:paraId="1A4338ED" w14:textId="3563E699"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0.3g</w:t>
            </w:r>
          </w:p>
        </w:tc>
      </w:tr>
      <w:tr w:rsidR="000B7B8B" w:rsidRPr="000B7B8B" w14:paraId="138587C1" w14:textId="77777777" w:rsidTr="00727177">
        <w:tc>
          <w:tcPr>
            <w:tcW w:w="3415" w:type="dxa"/>
          </w:tcPr>
          <w:p w14:paraId="22C5C54E" w14:textId="777BF3DE"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Sesame seeds</w:t>
            </w:r>
          </w:p>
        </w:tc>
        <w:tc>
          <w:tcPr>
            <w:tcW w:w="1350" w:type="dxa"/>
          </w:tcPr>
          <w:p w14:paraId="182EFFD4" w14:textId="1AB9108A"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1g</w:t>
            </w:r>
          </w:p>
        </w:tc>
        <w:tc>
          <w:tcPr>
            <w:tcW w:w="1530" w:type="dxa"/>
          </w:tcPr>
          <w:p w14:paraId="5E192E39" w14:textId="73123B24"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1g</w:t>
            </w:r>
          </w:p>
        </w:tc>
        <w:tc>
          <w:tcPr>
            <w:tcW w:w="1260" w:type="dxa"/>
            <w:shd w:val="clear" w:color="auto" w:fill="AAE571"/>
          </w:tcPr>
          <w:p w14:paraId="070F221E" w14:textId="7A24488C"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1g</w:t>
            </w:r>
          </w:p>
        </w:tc>
        <w:tc>
          <w:tcPr>
            <w:tcW w:w="1462" w:type="dxa"/>
          </w:tcPr>
          <w:p w14:paraId="6A9C9178" w14:textId="5492416A"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1g</w:t>
            </w:r>
          </w:p>
        </w:tc>
      </w:tr>
      <w:tr w:rsidR="000B7B8B" w:rsidRPr="000B7B8B" w14:paraId="6B7C1BB3" w14:textId="77777777" w:rsidTr="00727177">
        <w:tc>
          <w:tcPr>
            <w:tcW w:w="3415" w:type="dxa"/>
          </w:tcPr>
          <w:p w14:paraId="6843400D" w14:textId="64409D5E"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Ghee</w:t>
            </w:r>
          </w:p>
        </w:tc>
        <w:tc>
          <w:tcPr>
            <w:tcW w:w="1350" w:type="dxa"/>
          </w:tcPr>
          <w:p w14:paraId="76FD170C" w14:textId="353C243D"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530" w:type="dxa"/>
          </w:tcPr>
          <w:p w14:paraId="666A2FE0" w14:textId="1D73C080"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260" w:type="dxa"/>
            <w:shd w:val="clear" w:color="auto" w:fill="AAE571"/>
          </w:tcPr>
          <w:p w14:paraId="12BBA2C8" w14:textId="5D001C18"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462" w:type="dxa"/>
          </w:tcPr>
          <w:p w14:paraId="4360968B" w14:textId="09E46471"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r>
      <w:tr w:rsidR="000B7B8B" w:rsidRPr="000B7B8B" w14:paraId="0C9A395A" w14:textId="77777777" w:rsidTr="00727177">
        <w:tc>
          <w:tcPr>
            <w:tcW w:w="3415" w:type="dxa"/>
          </w:tcPr>
          <w:p w14:paraId="63A89A5A" w14:textId="2591A0A1"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Dates</w:t>
            </w:r>
          </w:p>
        </w:tc>
        <w:tc>
          <w:tcPr>
            <w:tcW w:w="1350" w:type="dxa"/>
          </w:tcPr>
          <w:p w14:paraId="56366588" w14:textId="16B09C86"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530" w:type="dxa"/>
          </w:tcPr>
          <w:p w14:paraId="7FE1EF64" w14:textId="7CACC20B"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260" w:type="dxa"/>
            <w:shd w:val="clear" w:color="auto" w:fill="AAE571"/>
          </w:tcPr>
          <w:p w14:paraId="19A9B921" w14:textId="68429AA9"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c>
          <w:tcPr>
            <w:tcW w:w="1462" w:type="dxa"/>
          </w:tcPr>
          <w:p w14:paraId="1F2FECC0" w14:textId="19EDE9DE"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5g</w:t>
            </w:r>
          </w:p>
        </w:tc>
      </w:tr>
      <w:tr w:rsidR="000B7B8B" w:rsidRPr="000B7B8B" w14:paraId="6893E5E5" w14:textId="77777777" w:rsidTr="00727177">
        <w:tc>
          <w:tcPr>
            <w:tcW w:w="3415" w:type="dxa"/>
          </w:tcPr>
          <w:p w14:paraId="02B8A369" w14:textId="09EE535E"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Jaggery</w:t>
            </w:r>
          </w:p>
        </w:tc>
        <w:tc>
          <w:tcPr>
            <w:tcW w:w="1350" w:type="dxa"/>
          </w:tcPr>
          <w:p w14:paraId="006197F0" w14:textId="484DA790"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1</w:t>
            </w:r>
            <w:r w:rsidRPr="000B7B8B">
              <w:rPr>
                <w:rFonts w:ascii="Times New Roman" w:hAnsi="Times New Roman" w:cs="Times New Roman"/>
                <w:b/>
                <w:bCs/>
              </w:rPr>
              <w:t>5g</w:t>
            </w:r>
          </w:p>
        </w:tc>
        <w:tc>
          <w:tcPr>
            <w:tcW w:w="1530" w:type="dxa"/>
          </w:tcPr>
          <w:p w14:paraId="3B0E8CC9" w14:textId="0A9D0E25"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1</w:t>
            </w:r>
            <w:r w:rsidRPr="000B7B8B">
              <w:rPr>
                <w:rFonts w:ascii="Times New Roman" w:hAnsi="Times New Roman" w:cs="Times New Roman"/>
                <w:b/>
                <w:bCs/>
              </w:rPr>
              <w:t>5g</w:t>
            </w:r>
          </w:p>
        </w:tc>
        <w:tc>
          <w:tcPr>
            <w:tcW w:w="1260" w:type="dxa"/>
            <w:shd w:val="clear" w:color="auto" w:fill="AAE571"/>
          </w:tcPr>
          <w:p w14:paraId="383BC724" w14:textId="5E342C58"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1</w:t>
            </w:r>
            <w:r w:rsidRPr="000B7B8B">
              <w:rPr>
                <w:rFonts w:ascii="Times New Roman" w:hAnsi="Times New Roman" w:cs="Times New Roman"/>
                <w:b/>
                <w:bCs/>
              </w:rPr>
              <w:t>5g</w:t>
            </w:r>
          </w:p>
        </w:tc>
        <w:tc>
          <w:tcPr>
            <w:tcW w:w="1462" w:type="dxa"/>
          </w:tcPr>
          <w:p w14:paraId="68538EA3" w14:textId="5731A092" w:rsidR="000B7B8B" w:rsidRPr="000B7B8B" w:rsidRDefault="000B7B8B" w:rsidP="00727177">
            <w:pPr>
              <w:spacing w:line="360" w:lineRule="auto"/>
              <w:jc w:val="center"/>
              <w:rPr>
                <w:rFonts w:ascii="Times New Roman" w:hAnsi="Times New Roman" w:cs="Times New Roman"/>
                <w:b/>
                <w:bCs/>
              </w:rPr>
            </w:pPr>
            <w:r>
              <w:rPr>
                <w:rFonts w:ascii="Times New Roman" w:hAnsi="Times New Roman" w:cs="Times New Roman"/>
                <w:b/>
                <w:bCs/>
              </w:rPr>
              <w:t>1</w:t>
            </w:r>
            <w:r w:rsidRPr="000B7B8B">
              <w:rPr>
                <w:rFonts w:ascii="Times New Roman" w:hAnsi="Times New Roman" w:cs="Times New Roman"/>
                <w:b/>
                <w:bCs/>
              </w:rPr>
              <w:t>5g</w:t>
            </w:r>
          </w:p>
        </w:tc>
      </w:tr>
      <w:tr w:rsidR="000B7B8B" w:rsidRPr="000B7B8B" w14:paraId="517B96F6" w14:textId="77777777" w:rsidTr="00727177">
        <w:tc>
          <w:tcPr>
            <w:tcW w:w="3415" w:type="dxa"/>
          </w:tcPr>
          <w:p w14:paraId="41B590D7" w14:textId="6A8D45A3" w:rsidR="000B7B8B" w:rsidRPr="000B7B8B" w:rsidRDefault="000B7B8B" w:rsidP="000B7B8B">
            <w:pPr>
              <w:spacing w:line="360" w:lineRule="auto"/>
              <w:jc w:val="both"/>
              <w:rPr>
                <w:rFonts w:ascii="Times New Roman" w:hAnsi="Times New Roman" w:cs="Times New Roman"/>
              </w:rPr>
            </w:pPr>
            <w:r w:rsidRPr="000B7B8B">
              <w:rPr>
                <w:rFonts w:ascii="Times New Roman" w:hAnsi="Times New Roman" w:cs="Times New Roman"/>
              </w:rPr>
              <w:t>Potable Water</w:t>
            </w:r>
          </w:p>
        </w:tc>
        <w:tc>
          <w:tcPr>
            <w:tcW w:w="1350" w:type="dxa"/>
          </w:tcPr>
          <w:p w14:paraId="6D82568E" w14:textId="463FB26D"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530" w:type="dxa"/>
          </w:tcPr>
          <w:p w14:paraId="3C3F663E" w14:textId="46345584"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260" w:type="dxa"/>
            <w:shd w:val="clear" w:color="auto" w:fill="AAE571"/>
          </w:tcPr>
          <w:p w14:paraId="67423EA6" w14:textId="12961BD7"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c>
          <w:tcPr>
            <w:tcW w:w="1462" w:type="dxa"/>
          </w:tcPr>
          <w:p w14:paraId="736A563F" w14:textId="25E9E05A" w:rsidR="000B7B8B" w:rsidRPr="000B7B8B" w:rsidRDefault="000B7B8B" w:rsidP="00727177">
            <w:pPr>
              <w:spacing w:line="360" w:lineRule="auto"/>
              <w:jc w:val="center"/>
              <w:rPr>
                <w:rFonts w:ascii="Times New Roman" w:hAnsi="Times New Roman" w:cs="Times New Roman"/>
                <w:b/>
                <w:bCs/>
              </w:rPr>
            </w:pPr>
            <w:r w:rsidRPr="000B7B8B">
              <w:rPr>
                <w:rFonts w:ascii="Times New Roman" w:hAnsi="Times New Roman" w:cs="Times New Roman"/>
                <w:b/>
                <w:bCs/>
              </w:rPr>
              <w:t>3g</w:t>
            </w:r>
          </w:p>
        </w:tc>
      </w:tr>
    </w:tbl>
    <w:p w14:paraId="363DE3EA" w14:textId="77777777" w:rsidR="00A1195C" w:rsidRPr="00A1195C" w:rsidRDefault="00A1195C" w:rsidP="000810BA">
      <w:pPr>
        <w:spacing w:line="360" w:lineRule="auto"/>
        <w:jc w:val="both"/>
        <w:rPr>
          <w:rFonts w:ascii="Times New Roman" w:hAnsi="Times New Roman" w:cs="Times New Roman"/>
          <w:sz w:val="6"/>
          <w:szCs w:val="6"/>
        </w:rPr>
      </w:pPr>
    </w:p>
    <w:p w14:paraId="59B93EC6" w14:textId="3CDB8F5E" w:rsidR="000810BA" w:rsidRPr="003C43AB" w:rsidRDefault="00A1195C" w:rsidP="000810BA">
      <w:pPr>
        <w:spacing w:line="360" w:lineRule="auto"/>
        <w:jc w:val="both"/>
        <w:rPr>
          <w:rFonts w:ascii="Times New Roman" w:hAnsi="Times New Roman" w:cs="Times New Roman"/>
        </w:rPr>
      </w:pPr>
      <w:r>
        <w:rPr>
          <w:rFonts w:ascii="Times New Roman" w:hAnsi="Times New Roman" w:cs="Times New Roman"/>
        </w:rPr>
        <w:t>According to Table 1, four</w:t>
      </w:r>
      <w:r w:rsidR="000810BA" w:rsidRPr="003C43AB">
        <w:rPr>
          <w:rFonts w:ascii="Times New Roman" w:hAnsi="Times New Roman" w:cs="Times New Roman"/>
        </w:rPr>
        <w:t xml:space="preserve"> snack bar formulations were prepared by incorporating Palmyrah tuber flour at levels of 10%, 20%, 25%, and 30% (as F1, F2, F3, and F4), while maintaining constant proportions of the other ingredients. </w:t>
      </w:r>
      <w:r w:rsidR="000810BA" w:rsidRPr="00B70625">
        <w:rPr>
          <w:rFonts w:ascii="Times New Roman" w:hAnsi="Times New Roman" w:cs="Times New Roman"/>
        </w:rPr>
        <w:t>The dry ingredients</w:t>
      </w:r>
      <w:r w:rsidR="000810BA" w:rsidRPr="003C43AB">
        <w:rPr>
          <w:rFonts w:ascii="Times New Roman" w:hAnsi="Times New Roman" w:cs="Times New Roman"/>
        </w:rPr>
        <w:t xml:space="preserve"> </w:t>
      </w:r>
      <w:r w:rsidR="000810BA" w:rsidRPr="00B70625">
        <w:rPr>
          <w:rFonts w:ascii="Times New Roman" w:hAnsi="Times New Roman" w:cs="Times New Roman"/>
        </w:rPr>
        <w:t xml:space="preserve">were </w:t>
      </w:r>
      <w:r w:rsidR="000810BA" w:rsidRPr="003C43AB">
        <w:rPr>
          <w:rFonts w:ascii="Times New Roman" w:hAnsi="Times New Roman" w:cs="Times New Roman"/>
        </w:rPr>
        <w:t>mixed</w:t>
      </w:r>
      <w:r w:rsidR="000810BA" w:rsidRPr="00B70625">
        <w:rPr>
          <w:rFonts w:ascii="Times New Roman" w:hAnsi="Times New Roman" w:cs="Times New Roman"/>
        </w:rPr>
        <w:t xml:space="preserve">; </w:t>
      </w:r>
      <w:r w:rsidR="000810BA" w:rsidRPr="003C43AB">
        <w:rPr>
          <w:rFonts w:ascii="Times New Roman" w:hAnsi="Times New Roman" w:cs="Times New Roman"/>
        </w:rPr>
        <w:t xml:space="preserve">syrup was </w:t>
      </w:r>
      <w:r w:rsidR="000810BA" w:rsidRPr="00B70625">
        <w:rPr>
          <w:rFonts w:ascii="Times New Roman" w:hAnsi="Times New Roman" w:cs="Times New Roman"/>
        </w:rPr>
        <w:t xml:space="preserve">prepared. </w:t>
      </w:r>
      <w:r w:rsidR="000810BA" w:rsidRPr="003C43AB">
        <w:rPr>
          <w:rFonts w:ascii="Times New Roman" w:hAnsi="Times New Roman" w:cs="Times New Roman"/>
        </w:rPr>
        <w:t>The dry mixture was incorporated into the syrup, kneaded thoroughly, spread into trays, sprinkled with sesame seeds, baked at 150 °C, cooled, and cut into uniform bars.</w:t>
      </w:r>
      <w:r w:rsidR="000810BA" w:rsidRPr="00B70625">
        <w:rPr>
          <w:rFonts w:ascii="Times New Roman" w:hAnsi="Times New Roman" w:cs="Times New Roman"/>
        </w:rPr>
        <w:t xml:space="preserve"> </w:t>
      </w:r>
      <w:r w:rsidR="000810BA" w:rsidRPr="003C43AB">
        <w:rPr>
          <w:rFonts w:ascii="Times New Roman" w:hAnsi="Times New Roman" w:cs="Times New Roman"/>
        </w:rPr>
        <w:t xml:space="preserve">Sensory </w:t>
      </w:r>
      <w:r w:rsidR="000810BA" w:rsidRPr="003C43AB">
        <w:rPr>
          <w:rFonts w:ascii="Times New Roman" w:hAnsi="Times New Roman" w:cs="Times New Roman"/>
        </w:rPr>
        <w:lastRenderedPageBreak/>
        <w:t xml:space="preserve">evaluation was conducted using a 9-point hedonic scale with 20 trained </w:t>
      </w:r>
      <w:proofErr w:type="spellStart"/>
      <w:r w:rsidR="000810BA" w:rsidRPr="003C43AB">
        <w:rPr>
          <w:rFonts w:ascii="Times New Roman" w:hAnsi="Times New Roman" w:cs="Times New Roman"/>
        </w:rPr>
        <w:t>panellists</w:t>
      </w:r>
      <w:proofErr w:type="spellEnd"/>
      <w:r w:rsidR="000810BA" w:rsidRPr="003C43AB">
        <w:rPr>
          <w:rFonts w:ascii="Times New Roman" w:hAnsi="Times New Roman" w:cs="Times New Roman"/>
        </w:rPr>
        <w:t xml:space="preserve">. Attributes evaluated included </w:t>
      </w:r>
      <w:proofErr w:type="spellStart"/>
      <w:r w:rsidR="000810BA" w:rsidRPr="003C43AB">
        <w:rPr>
          <w:rFonts w:ascii="Times New Roman" w:hAnsi="Times New Roman" w:cs="Times New Roman"/>
        </w:rPr>
        <w:t>colour</w:t>
      </w:r>
      <w:proofErr w:type="spellEnd"/>
      <w:r w:rsidR="000810BA" w:rsidRPr="003C43AB">
        <w:rPr>
          <w:rFonts w:ascii="Times New Roman" w:hAnsi="Times New Roman" w:cs="Times New Roman"/>
        </w:rPr>
        <w:t xml:space="preserve">, aroma, texture, taste, and overall acceptability.  </w:t>
      </w:r>
    </w:p>
    <w:p w14:paraId="32AA1CDA" w14:textId="77777777" w:rsidR="000810BA" w:rsidRPr="00B70625" w:rsidRDefault="000810BA" w:rsidP="000810BA">
      <w:pPr>
        <w:spacing w:line="360" w:lineRule="auto"/>
        <w:jc w:val="both"/>
        <w:rPr>
          <w:rFonts w:ascii="Times New Roman" w:hAnsi="Times New Roman" w:cs="Times New Roman"/>
        </w:rPr>
      </w:pPr>
      <w:r w:rsidRPr="003C43AB">
        <w:rPr>
          <w:rFonts w:ascii="Times New Roman" w:hAnsi="Times New Roman" w:cs="Times New Roman"/>
        </w:rPr>
        <w:t xml:space="preserve">Proximate composition, including moisture, ash, crude protein, crude fat, crude fibre, and carbohydrate content, was determined according to standard AOAC methods. Physicochemical properties such as pH, total sugar content, and salt content were also </w:t>
      </w:r>
      <w:proofErr w:type="spellStart"/>
      <w:r w:rsidRPr="003C43AB">
        <w:rPr>
          <w:rFonts w:ascii="Times New Roman" w:hAnsi="Times New Roman" w:cs="Times New Roman"/>
        </w:rPr>
        <w:t>analysed</w:t>
      </w:r>
      <w:proofErr w:type="spellEnd"/>
      <w:r w:rsidRPr="003C43AB">
        <w:rPr>
          <w:rFonts w:ascii="Times New Roman" w:hAnsi="Times New Roman" w:cs="Times New Roman"/>
        </w:rPr>
        <w:t xml:space="preserve"> following AOAC protocols. Mineral analysis for iron, calcium, magnesium, sodium, and potassium was carried out using standard analytical techniques.</w:t>
      </w:r>
      <w:r w:rsidRPr="00B70625">
        <w:rPr>
          <w:rFonts w:ascii="Times New Roman" w:hAnsi="Times New Roman" w:cs="Times New Roman"/>
        </w:rPr>
        <w:t xml:space="preserve"> </w:t>
      </w:r>
      <w:r w:rsidRPr="003C43AB">
        <w:rPr>
          <w:rFonts w:ascii="Times New Roman" w:hAnsi="Times New Roman" w:cs="Times New Roman"/>
        </w:rPr>
        <w:t xml:space="preserve">Shelf-life studies were conducted at 0, 30, 60, and 90 days of storage at ambient conditions. Microbiological analyses included total plate count and yeast and </w:t>
      </w:r>
      <w:proofErr w:type="spellStart"/>
      <w:r w:rsidRPr="00B70625">
        <w:rPr>
          <w:rFonts w:ascii="Times New Roman" w:hAnsi="Times New Roman" w:cs="Times New Roman"/>
        </w:rPr>
        <w:t>mould</w:t>
      </w:r>
      <w:proofErr w:type="spellEnd"/>
      <w:r w:rsidRPr="003C43AB">
        <w:rPr>
          <w:rFonts w:ascii="Times New Roman" w:hAnsi="Times New Roman" w:cs="Times New Roman"/>
        </w:rPr>
        <w:t>, performed according to ISO</w:t>
      </w:r>
      <w:r w:rsidRPr="00B70625">
        <w:rPr>
          <w:rFonts w:ascii="Times New Roman" w:hAnsi="Times New Roman" w:cs="Times New Roman"/>
        </w:rPr>
        <w:t xml:space="preserve">. </w:t>
      </w:r>
      <w:r w:rsidRPr="003C43AB">
        <w:rPr>
          <w:rFonts w:ascii="Times New Roman" w:hAnsi="Times New Roman" w:cs="Times New Roman"/>
        </w:rPr>
        <w:t xml:space="preserve">Market potential was assessed using a structured questionnaire administered to 250 respondents, including health-conscious consumers, gluten-sensitive individuals, and young professionals. </w:t>
      </w:r>
    </w:p>
    <w:p w14:paraId="6650E281" w14:textId="25A56D29" w:rsidR="00513E58" w:rsidRDefault="000B7B8B" w:rsidP="00C6320A">
      <w:pPr>
        <w:spacing w:line="360" w:lineRule="auto"/>
        <w:jc w:val="both"/>
        <w:rPr>
          <w:rFonts w:ascii="Times New Roman" w:hAnsi="Times New Roman" w:cs="Times New Roman"/>
          <w:color w:val="000000" w:themeColor="text1"/>
        </w:rPr>
      </w:pPr>
      <w:r>
        <w:rPr>
          <w:noProof/>
        </w:rPr>
        <w:drawing>
          <wp:inline distT="0" distB="0" distL="0" distR="0" wp14:anchorId="5659957C" wp14:editId="16D58A73">
            <wp:extent cx="5732145" cy="3289935"/>
            <wp:effectExtent l="0" t="0" r="1905" b="5715"/>
            <wp:docPr id="1208424643" name="Chart 1">
              <a:extLst xmlns:a="http://schemas.openxmlformats.org/drawingml/2006/main">
                <a:ext uri="{FF2B5EF4-FFF2-40B4-BE49-F238E27FC236}">
                  <a16:creationId xmlns:a16="http://schemas.microsoft.com/office/drawing/2014/main" id="{DA47E7FD-C7C7-AB8C-C948-81171291D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A785822" w14:textId="7EBA4478" w:rsidR="00513E58" w:rsidRDefault="00A1195C" w:rsidP="00513E58">
      <w:pPr>
        <w:pStyle w:val="Quote"/>
      </w:pPr>
      <w:r>
        <w:t xml:space="preserve">Fig </w:t>
      </w:r>
      <w:r w:rsidR="00513E58">
        <w:t>1 – sensory evaluation</w:t>
      </w:r>
      <w:r>
        <w:t xml:space="preserve"> by </w:t>
      </w:r>
    </w:p>
    <w:bookmarkEnd w:id="2"/>
    <w:p w14:paraId="4564AA48" w14:textId="6C172965" w:rsidR="007D7330"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The sensory evaluation successfully discriminated among the four Palmyrah tuber flour–based snack bar formulations, demonstrating the effectiveness of the 9-point hedonic scale in identifying consumer preferences. </w:t>
      </w:r>
      <w:r w:rsidR="00A1195C">
        <w:rPr>
          <w:rFonts w:ascii="Times New Roman" w:hAnsi="Times New Roman" w:cs="Times New Roman"/>
        </w:rPr>
        <w:t xml:space="preserve">Following Figure 1 </w:t>
      </w:r>
      <w:r w:rsidRPr="007F4C16">
        <w:rPr>
          <w:rFonts w:ascii="Times New Roman" w:hAnsi="Times New Roman" w:cs="Times New Roman"/>
        </w:rPr>
        <w:t xml:space="preserve">Among the tested formulations, Formula </w:t>
      </w:r>
      <w:r>
        <w:rPr>
          <w:rFonts w:ascii="Times New Roman" w:hAnsi="Times New Roman" w:cs="Times New Roman"/>
        </w:rPr>
        <w:t xml:space="preserve">3 (F3) </w:t>
      </w:r>
      <w:r w:rsidRPr="007F4C16">
        <w:rPr>
          <w:rFonts w:ascii="Times New Roman" w:hAnsi="Times New Roman" w:cs="Times New Roman"/>
        </w:rPr>
        <w:t xml:space="preserve">achieved the highest mean scores for appearance, taste, texture, aroma, and overall acceptability. This indicates that Formula </w:t>
      </w:r>
      <w:r>
        <w:rPr>
          <w:rFonts w:ascii="Times New Roman" w:hAnsi="Times New Roman" w:cs="Times New Roman"/>
        </w:rPr>
        <w:t xml:space="preserve">F3 </w:t>
      </w:r>
      <w:r w:rsidRPr="007F4C16">
        <w:rPr>
          <w:rFonts w:ascii="Times New Roman" w:hAnsi="Times New Roman" w:cs="Times New Roman"/>
        </w:rPr>
        <w:t xml:space="preserve">possessed a well-balanced sensory profile, where sweetness, </w:t>
      </w:r>
      <w:proofErr w:type="spellStart"/>
      <w:r w:rsidRPr="007F4C16">
        <w:rPr>
          <w:rFonts w:ascii="Times New Roman" w:hAnsi="Times New Roman" w:cs="Times New Roman"/>
        </w:rPr>
        <w:t>flavour</w:t>
      </w:r>
      <w:proofErr w:type="spellEnd"/>
      <w:r w:rsidRPr="007F4C16">
        <w:rPr>
          <w:rFonts w:ascii="Times New Roman" w:hAnsi="Times New Roman" w:cs="Times New Roman"/>
        </w:rPr>
        <w:t xml:space="preserve"> intensity, and textural attributes complemented each other effectively. In contrast, Formulas </w:t>
      </w:r>
      <w:r>
        <w:rPr>
          <w:rFonts w:ascii="Times New Roman" w:hAnsi="Times New Roman" w:cs="Times New Roman"/>
        </w:rPr>
        <w:t>F2</w:t>
      </w:r>
      <w:r w:rsidRPr="007F4C16">
        <w:rPr>
          <w:rFonts w:ascii="Times New Roman" w:hAnsi="Times New Roman" w:cs="Times New Roman"/>
        </w:rPr>
        <w:t xml:space="preserve"> and </w:t>
      </w:r>
      <w:r>
        <w:rPr>
          <w:rFonts w:ascii="Times New Roman" w:hAnsi="Times New Roman" w:cs="Times New Roman"/>
        </w:rPr>
        <w:t>F4</w:t>
      </w:r>
      <w:r w:rsidRPr="007F4C16">
        <w:rPr>
          <w:rFonts w:ascii="Times New Roman" w:hAnsi="Times New Roman" w:cs="Times New Roman"/>
        </w:rPr>
        <w:t xml:space="preserve"> showed moderate acceptability across most sensory attributes, </w:t>
      </w:r>
      <w:r w:rsidRPr="007F4C16">
        <w:rPr>
          <w:rFonts w:ascii="Times New Roman" w:hAnsi="Times New Roman" w:cs="Times New Roman"/>
        </w:rPr>
        <w:lastRenderedPageBreak/>
        <w:t xml:space="preserve">suggesting that both lower and higher inclusion levels of Palmyrah tuber flour slightly affected consumer perception. Formula A, despite being perceived as sweet, recorded the lowest overall acceptability score, primarily due to its inferior texture. These results highlight that excessive sweetness alone does not ensure consumer preference and </w:t>
      </w:r>
      <w:proofErr w:type="spellStart"/>
      <w:r>
        <w:rPr>
          <w:rFonts w:ascii="Times New Roman" w:hAnsi="Times New Roman" w:cs="Times New Roman"/>
        </w:rPr>
        <w:t>emphasise</w:t>
      </w:r>
      <w:proofErr w:type="spellEnd"/>
      <w:r w:rsidRPr="007F4C16">
        <w:rPr>
          <w:rFonts w:ascii="Times New Roman" w:hAnsi="Times New Roman" w:cs="Times New Roman"/>
        </w:rPr>
        <w:t xml:space="preserve"> the importance of texture in determining </w:t>
      </w:r>
      <w:r>
        <w:rPr>
          <w:rFonts w:ascii="Times New Roman" w:hAnsi="Times New Roman" w:cs="Times New Roman"/>
        </w:rPr>
        <w:t xml:space="preserve">the </w:t>
      </w:r>
      <w:r w:rsidRPr="007F4C16">
        <w:rPr>
          <w:rFonts w:ascii="Times New Roman" w:hAnsi="Times New Roman" w:cs="Times New Roman"/>
        </w:rPr>
        <w:t xml:space="preserve">overall acceptability of snack bars. </w:t>
      </w:r>
    </w:p>
    <w:p w14:paraId="41E55CDB" w14:textId="77777777"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Based on the sensory evaluation outcomes, Formula </w:t>
      </w:r>
      <w:r>
        <w:rPr>
          <w:rFonts w:ascii="Times New Roman" w:hAnsi="Times New Roman" w:cs="Times New Roman"/>
        </w:rPr>
        <w:t xml:space="preserve">F3 </w:t>
      </w:r>
      <w:r w:rsidRPr="007F4C16">
        <w:rPr>
          <w:rFonts w:ascii="Times New Roman" w:hAnsi="Times New Roman" w:cs="Times New Roman"/>
        </w:rPr>
        <w:t xml:space="preserve">was selected for further nutritional, microbiological, physicochemical, texture, and market analyses. Proximate composition analysis revealed that the developed snack bar contained a high carbohydrate content (74.55 ± 0.12 g/100 g), indicating its potential as an energy-providing food suitable for active individuals, students, and working adults. The crude fibre content (7.92 ± 0.04 g/100 g) was considerably higher than that of many conventional commercial snack bars, underscoring the functional value of Palmyrah tuber flour as a dietary fibre source. High fibre intake is associated with improved digestive health and </w:t>
      </w:r>
      <w:proofErr w:type="spellStart"/>
      <w:r w:rsidRPr="007F4C16">
        <w:rPr>
          <w:rFonts w:ascii="Times New Roman" w:hAnsi="Times New Roman" w:cs="Times New Roman"/>
        </w:rPr>
        <w:t>glycaemic</w:t>
      </w:r>
      <w:proofErr w:type="spellEnd"/>
      <w:r w:rsidRPr="007F4C16">
        <w:rPr>
          <w:rFonts w:ascii="Times New Roman" w:hAnsi="Times New Roman" w:cs="Times New Roman"/>
        </w:rPr>
        <w:t xml:space="preserve"> control, making the product particularly relevant for health-conscious consumers. The protein content (3.75 ± 0.07 g/100 g), although moderate, contributes to satiety, while the fat content (12.52 ± 0.22 g/100 g) enhances palatability and energy density. The iron content (2.32 ± 0.10 mg/100 g) reflects the mineral-rich nature of Palmyrah tuber flour and is nutritionally significant in addressing iron deficiency, which remains prevalent in many developing regions. Total ash content (1.33 ± 0.09 g/100 g) further confirms the presence of essential minerals. The energy value (260 ± 3 kcal/100 g) was comparable to commercially available snack bar</w:t>
      </w:r>
      <w:r>
        <w:rPr>
          <w:rFonts w:ascii="Times New Roman" w:hAnsi="Times New Roman" w:cs="Times New Roman"/>
        </w:rPr>
        <w:t xml:space="preserve"> (oats bar)</w:t>
      </w:r>
      <w:r w:rsidRPr="007F4C16">
        <w:rPr>
          <w:rFonts w:ascii="Times New Roman" w:hAnsi="Times New Roman" w:cs="Times New Roman"/>
        </w:rPr>
        <w:t>, suggesting that the product can serve as a healthier alternative without compromising caloric adequacy.</w:t>
      </w:r>
    </w:p>
    <w:p w14:paraId="17280917" w14:textId="77777777"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Microbiological and physicochemical changes during storage were evaluated to assess product stability and safety. Yeast and </w:t>
      </w:r>
      <w:proofErr w:type="spellStart"/>
      <w:r w:rsidRPr="007F4C16">
        <w:rPr>
          <w:rFonts w:ascii="Times New Roman" w:hAnsi="Times New Roman" w:cs="Times New Roman"/>
        </w:rPr>
        <w:t>mould</w:t>
      </w:r>
      <w:proofErr w:type="spellEnd"/>
      <w:r w:rsidRPr="007F4C16">
        <w:rPr>
          <w:rFonts w:ascii="Times New Roman" w:hAnsi="Times New Roman" w:cs="Times New Roman"/>
        </w:rPr>
        <w:t xml:space="preserve"> counts increased gradually from day 0 to day 90, progressing from undetectable levels at the initial stage to higher counts at the end of the storage period. This gradual increase is expected in ready-to-eat products stored under ambient conditions; however, the counts remained within acceptable limits throughout the storage period, indicating satisfactory microbiological safety. The total plate count remained relatively constant over the 90-day storage period, reflecting effective hygienic practices during processing and the adequacy of the formulation in inhibiting excessive microbial growth.</w:t>
      </w:r>
    </w:p>
    <w:p w14:paraId="75F16E6D" w14:textId="77777777"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Physicochemical analysis revealed only minimal changes during storage. The pH value showed a slight decrease from 6.30 at day 0 to 6.29 at day 90, which may be attributed to minor biochemical or microbial activity. However, this negligible change does not indicate significant </w:t>
      </w:r>
      <w:r w:rsidRPr="007F4C16">
        <w:rPr>
          <w:rFonts w:ascii="Times New Roman" w:hAnsi="Times New Roman" w:cs="Times New Roman"/>
        </w:rPr>
        <w:lastRenderedPageBreak/>
        <w:t>deterioration and suggests that the product remained chemically stable. Moisture content remained unchanged throughout the storage period, demonstrating effective moisture control through appropriate formulation and packaging. Stable moisture levels are critical for maintaining textural quality and limiting microbial proliferation, further supporting the product’s extended shelf life.</w:t>
      </w:r>
    </w:p>
    <w:p w14:paraId="4A2638D8" w14:textId="77777777"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Texture profile analysis showed that the developed Palmyrah snack bar exhibited lower hardness (76 g) compared to a selected commercial snack bar (96 g). This indicates that the formulated product was slightly softer and less sticky, attributes that are generally preferred by consumers, as excessively hard snack bars can reduce eating comfort and acceptance. The </w:t>
      </w:r>
      <w:proofErr w:type="spellStart"/>
      <w:r w:rsidRPr="007F4C16">
        <w:rPr>
          <w:rFonts w:ascii="Times New Roman" w:hAnsi="Times New Roman" w:cs="Times New Roman"/>
        </w:rPr>
        <w:t>favourable</w:t>
      </w:r>
      <w:proofErr w:type="spellEnd"/>
      <w:r w:rsidRPr="007F4C16">
        <w:rPr>
          <w:rFonts w:ascii="Times New Roman" w:hAnsi="Times New Roman" w:cs="Times New Roman"/>
        </w:rPr>
        <w:t xml:space="preserve"> texture may be attributed to the synergistic interaction between Palmyrah tuber flour, jaggery, fat, and other binding ingredients, which provided sufficient structural integrity without excessive rigidity.</w:t>
      </w:r>
    </w:p>
    <w:p w14:paraId="375F8A04" w14:textId="77777777"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Market potential assessment conducted through a structured survey of 250 respondents demonstrated positive consumer perception toward the developed snack bar. Respondents showed high awareness of health-related issues, expressed interest in fibre-rich and gluten-free products, and exhibited willingness to purchase the product at a competitive price</w:t>
      </w:r>
      <w:r>
        <w:rPr>
          <w:rFonts w:ascii="Times New Roman" w:hAnsi="Times New Roman" w:cs="Times New Roman"/>
        </w:rPr>
        <w:t xml:space="preserve"> (LKR)</w:t>
      </w:r>
      <w:r w:rsidRPr="007F4C16">
        <w:rPr>
          <w:rFonts w:ascii="Times New Roman" w:hAnsi="Times New Roman" w:cs="Times New Roman"/>
        </w:rPr>
        <w:t>. Health consciousness, lifestyle factors, and preference for natural and locally sourced ingredients significantly influenced purchase intention. These findings indicate strong market potential for Palmyrah tuber flour–based snack bars, particularly among health-conscious consumers, gluten-sensitive individuals, and young professionals.</w:t>
      </w:r>
    </w:p>
    <w:p w14:paraId="643D6F15" w14:textId="23DB741D"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In conclusion, this study successfully developed a fibre- and iron-rich gluten-free snack bar using Palmyrah tuber flour with desirable sensory attributes, satisfactory nutritional quality, acceptable microbiological stability, and promising market acceptance. The findings demonstrate the feasibility of </w:t>
      </w:r>
      <w:proofErr w:type="spellStart"/>
      <w:r w:rsidRPr="007F4C16">
        <w:rPr>
          <w:rFonts w:ascii="Times New Roman" w:hAnsi="Times New Roman" w:cs="Times New Roman"/>
        </w:rPr>
        <w:t>valorising</w:t>
      </w:r>
      <w:proofErr w:type="spellEnd"/>
      <w:r w:rsidRPr="007F4C16">
        <w:rPr>
          <w:rFonts w:ascii="Times New Roman" w:hAnsi="Times New Roman" w:cs="Times New Roman"/>
        </w:rPr>
        <w:t xml:space="preserve"> </w:t>
      </w:r>
      <w:proofErr w:type="spellStart"/>
      <w:r w:rsidRPr="007F4C16">
        <w:rPr>
          <w:rFonts w:ascii="Times New Roman" w:hAnsi="Times New Roman" w:cs="Times New Roman"/>
        </w:rPr>
        <w:t>underutilised</w:t>
      </w:r>
      <w:proofErr w:type="spellEnd"/>
      <w:r w:rsidRPr="007F4C16">
        <w:rPr>
          <w:rFonts w:ascii="Times New Roman" w:hAnsi="Times New Roman" w:cs="Times New Roman"/>
        </w:rPr>
        <w:t xml:space="preserve"> Palmyrah resources through innovative value-added food products. </w:t>
      </w:r>
      <w:bookmarkStart w:id="3" w:name="_Hlk217564023"/>
      <w:r>
        <w:rPr>
          <w:rFonts w:ascii="Times New Roman" w:hAnsi="Times New Roman" w:cs="Times New Roman"/>
          <w:color w:val="000000" w:themeColor="text1"/>
        </w:rPr>
        <w:t>Consumer</w:t>
      </w:r>
      <w:r w:rsidRPr="00342AB8">
        <w:rPr>
          <w:rFonts w:ascii="Times New Roman" w:hAnsi="Times New Roman" w:cs="Times New Roman"/>
          <w:color w:val="000000" w:themeColor="text1"/>
        </w:rPr>
        <w:t xml:space="preserve"> preference</w:t>
      </w:r>
      <w:r>
        <w:rPr>
          <w:rFonts w:ascii="Times New Roman" w:hAnsi="Times New Roman" w:cs="Times New Roman"/>
          <w:color w:val="000000" w:themeColor="text1"/>
        </w:rPr>
        <w:t xml:space="preserve"> for snack</w:t>
      </w:r>
      <w:r w:rsidRPr="00342AB8">
        <w:rPr>
          <w:rFonts w:ascii="Times New Roman" w:hAnsi="Times New Roman" w:cs="Times New Roman"/>
          <w:color w:val="000000" w:themeColor="text1"/>
        </w:rPr>
        <w:t xml:space="preserve"> bar</w:t>
      </w:r>
      <w:r>
        <w:rPr>
          <w:rFonts w:ascii="Times New Roman" w:hAnsi="Times New Roman" w:cs="Times New Roman"/>
          <w:color w:val="000000" w:themeColor="text1"/>
        </w:rPr>
        <w:t>s has increased significantly</w:t>
      </w:r>
      <w:r w:rsidRPr="00342AB8">
        <w:rPr>
          <w:rFonts w:ascii="Times New Roman" w:hAnsi="Times New Roman" w:cs="Times New Roman"/>
          <w:color w:val="000000" w:themeColor="text1"/>
        </w:rPr>
        <w:t xml:space="preserve">, with 37% of consumers worldwide having purchased one in the past few years. </w:t>
      </w:r>
      <w:bookmarkEnd w:id="3"/>
      <w:r>
        <w:rPr>
          <w:rFonts w:ascii="Times New Roman" w:hAnsi="Times New Roman" w:cs="Times New Roman"/>
          <w:color w:val="000000" w:themeColor="text1"/>
        </w:rPr>
        <w:t xml:space="preserve">Therefore, </w:t>
      </w:r>
      <w:r>
        <w:rPr>
          <w:rFonts w:ascii="Times New Roman" w:hAnsi="Times New Roman" w:cs="Times New Roman"/>
        </w:rPr>
        <w:t>s</w:t>
      </w:r>
      <w:r w:rsidRPr="007F4C16">
        <w:rPr>
          <w:rFonts w:ascii="Times New Roman" w:hAnsi="Times New Roman" w:cs="Times New Roman"/>
        </w:rPr>
        <w:t xml:space="preserve">uch product development not only contributes to improving public health </w:t>
      </w:r>
      <w:r>
        <w:rPr>
          <w:rFonts w:ascii="Times New Roman" w:hAnsi="Times New Roman" w:cs="Times New Roman"/>
        </w:rPr>
        <w:t xml:space="preserve">concerns and </w:t>
      </w:r>
      <w:r w:rsidRPr="007F4C16">
        <w:rPr>
          <w:rFonts w:ascii="Times New Roman" w:hAnsi="Times New Roman" w:cs="Times New Roman"/>
        </w:rPr>
        <w:t xml:space="preserve">nutrition </w:t>
      </w:r>
      <w:r>
        <w:rPr>
          <w:rFonts w:ascii="Times New Roman" w:hAnsi="Times New Roman" w:cs="Times New Roman"/>
        </w:rPr>
        <w:t xml:space="preserve">but </w:t>
      </w:r>
      <w:r w:rsidRPr="007F4C16">
        <w:rPr>
          <w:rFonts w:ascii="Times New Roman" w:hAnsi="Times New Roman" w:cs="Times New Roman"/>
        </w:rPr>
        <w:t xml:space="preserve">also supports the development </w:t>
      </w:r>
      <w:r>
        <w:rPr>
          <w:rFonts w:ascii="Times New Roman" w:hAnsi="Times New Roman" w:cs="Times New Roman"/>
        </w:rPr>
        <w:t xml:space="preserve">of </w:t>
      </w:r>
      <w:r w:rsidRPr="007F4C16">
        <w:rPr>
          <w:rFonts w:ascii="Times New Roman" w:hAnsi="Times New Roman" w:cs="Times New Roman"/>
        </w:rPr>
        <w:t>industries in Sri Lanka.</w:t>
      </w:r>
    </w:p>
    <w:p w14:paraId="76D0F5C4" w14:textId="1EEA0559" w:rsidR="005E6D42" w:rsidRDefault="005E6D42" w:rsidP="005E6D42">
      <w:pPr>
        <w:rPr>
          <w:rFonts w:ascii="Times New Roman" w:hAnsi="Times New Roman" w:cs="Times New Roman"/>
        </w:rPr>
      </w:pPr>
      <w:r w:rsidRPr="005F350C">
        <w:rPr>
          <w:rFonts w:ascii="Times New Roman" w:hAnsi="Times New Roman" w:cs="Times New Roman"/>
          <w:b/>
          <w:bCs/>
        </w:rPr>
        <w:t>Keywords</w:t>
      </w:r>
      <w:r>
        <w:rPr>
          <w:rFonts w:ascii="Times New Roman" w:hAnsi="Times New Roman" w:cs="Times New Roman"/>
        </w:rPr>
        <w:t>:</w:t>
      </w:r>
      <w:r w:rsidRPr="005F350C">
        <w:rPr>
          <w:rFonts w:ascii="Times New Roman" w:hAnsi="Times New Roman" w:cs="Times New Roman"/>
        </w:rPr>
        <w:t xml:space="preserve"> </w:t>
      </w:r>
      <w:r w:rsidRPr="007B7E55">
        <w:rPr>
          <w:rFonts w:ascii="Times New Roman" w:hAnsi="Times New Roman" w:cs="Times New Roman"/>
        </w:rPr>
        <w:t>Functional Food, Gluten-Free, Palmyrah Tuber Flour, Jaggery, Snack Bar.</w:t>
      </w:r>
    </w:p>
    <w:p w14:paraId="31F29E00" w14:textId="77777777" w:rsidR="007D7330" w:rsidRDefault="007D7330" w:rsidP="005E6D42">
      <w:pPr>
        <w:rPr>
          <w:rFonts w:ascii="Times New Roman" w:hAnsi="Times New Roman" w:cs="Times New Roman"/>
          <w:b/>
          <w:bCs/>
        </w:rPr>
      </w:pPr>
    </w:p>
    <w:p w14:paraId="0FAAA759" w14:textId="77777777" w:rsidR="007D7330" w:rsidRDefault="007D7330" w:rsidP="005E6D42">
      <w:pPr>
        <w:rPr>
          <w:rFonts w:ascii="Times New Roman" w:hAnsi="Times New Roman" w:cs="Times New Roman"/>
          <w:b/>
          <w:bCs/>
        </w:rPr>
      </w:pPr>
    </w:p>
    <w:p w14:paraId="7C75D6E4" w14:textId="77777777" w:rsidR="00EA285E" w:rsidRDefault="00EA285E" w:rsidP="005E6D42">
      <w:pPr>
        <w:rPr>
          <w:rFonts w:ascii="Times New Roman" w:hAnsi="Times New Roman" w:cs="Times New Roman"/>
          <w:b/>
          <w:bCs/>
        </w:rPr>
      </w:pPr>
    </w:p>
    <w:p w14:paraId="018238F4" w14:textId="4B2C4592" w:rsidR="00F45C52" w:rsidRPr="00F45C52" w:rsidRDefault="00F45C52" w:rsidP="005E6D42">
      <w:pPr>
        <w:rPr>
          <w:rFonts w:ascii="Times New Roman" w:hAnsi="Times New Roman" w:cs="Times New Roman"/>
          <w:b/>
          <w:bCs/>
        </w:rPr>
      </w:pPr>
      <w:r w:rsidRPr="00F45C52">
        <w:rPr>
          <w:rFonts w:ascii="Times New Roman" w:hAnsi="Times New Roman" w:cs="Times New Roman"/>
          <w:b/>
          <w:bCs/>
        </w:rPr>
        <w:lastRenderedPageBreak/>
        <w:t>Referents</w:t>
      </w:r>
    </w:p>
    <w:p w14:paraId="2C7082D9" w14:textId="20E2C718" w:rsidR="00B172D0" w:rsidRDefault="0036391E" w:rsidP="00B172D0">
      <w:r w:rsidRPr="0036391E">
        <w:rPr>
          <w:rFonts w:ascii="Times New Roman" w:hAnsi="Times New Roman" w:cs="Times New Roman"/>
        </w:rPr>
        <w:t>‌</w:t>
      </w:r>
      <w:r w:rsidR="00B172D0" w:rsidRPr="00D71D1E">
        <w:t>Mathur, M., 2021. </w:t>
      </w:r>
      <w:r w:rsidR="00B172D0" w:rsidRPr="00D71D1E">
        <w:rPr>
          <w:i/>
          <w:iCs/>
        </w:rPr>
        <w:t>Development and Evaluation of Protein and Fibre Enriched Composite Bars</w:t>
      </w:r>
      <w:r w:rsidR="00B172D0" w:rsidRPr="00D71D1E">
        <w:t> (Doctoral dissertation, Food science and technology, CCSHAU, Hisar).</w:t>
      </w:r>
    </w:p>
    <w:p w14:paraId="0F8C47FA" w14:textId="13DF43BA" w:rsidR="00B172D0" w:rsidRPr="00B172D0" w:rsidRDefault="00B172D0" w:rsidP="00B172D0">
      <w:pPr>
        <w:rPr>
          <w:rFonts w:ascii="Times New Roman" w:hAnsi="Times New Roman" w:cs="Times New Roman"/>
        </w:rPr>
      </w:pPr>
      <w:r w:rsidRPr="00B172D0">
        <w:rPr>
          <w:rFonts w:ascii="Times New Roman" w:hAnsi="Times New Roman" w:cs="Times New Roman"/>
        </w:rPr>
        <w:t xml:space="preserve">Chen, B. and Oleksandra </w:t>
      </w:r>
      <w:proofErr w:type="spellStart"/>
      <w:r w:rsidRPr="00B172D0">
        <w:rPr>
          <w:rFonts w:ascii="Times New Roman" w:hAnsi="Times New Roman" w:cs="Times New Roman"/>
        </w:rPr>
        <w:t>Poquet</w:t>
      </w:r>
      <w:proofErr w:type="spellEnd"/>
      <w:r w:rsidRPr="00B172D0">
        <w:rPr>
          <w:rFonts w:ascii="Times New Roman" w:hAnsi="Times New Roman" w:cs="Times New Roman"/>
        </w:rPr>
        <w:t xml:space="preserve"> (2020). Socio-temporal dynamics in peer interaction events. </w:t>
      </w:r>
      <w:proofErr w:type="spellStart"/>
      <w:proofErr w:type="gramStart"/>
      <w:r w:rsidRPr="00B172D0">
        <w:rPr>
          <w:rFonts w:ascii="Times New Roman" w:hAnsi="Times New Roman" w:cs="Times New Roman"/>
        </w:rPr>
        <w:t>doi:https</w:t>
      </w:r>
      <w:proofErr w:type="spellEnd"/>
      <w:r w:rsidRPr="00B172D0">
        <w:rPr>
          <w:rFonts w:ascii="Times New Roman" w:hAnsi="Times New Roman" w:cs="Times New Roman"/>
        </w:rPr>
        <w:t>://doi.org/10.1145/3375462.3375535</w:t>
      </w:r>
      <w:proofErr w:type="gramEnd"/>
      <w:r w:rsidRPr="00B172D0">
        <w:rPr>
          <w:rFonts w:ascii="Times New Roman" w:hAnsi="Times New Roman" w:cs="Times New Roman"/>
        </w:rPr>
        <w:t>.</w:t>
      </w:r>
    </w:p>
    <w:p w14:paraId="35158AA1" w14:textId="6AD67ABA" w:rsidR="00F553BA" w:rsidRPr="00F553BA" w:rsidRDefault="00F553BA" w:rsidP="00F553BA">
      <w:pPr>
        <w:rPr>
          <w:rFonts w:ascii="Times New Roman" w:hAnsi="Times New Roman" w:cs="Times New Roman"/>
        </w:rPr>
      </w:pPr>
      <w:r w:rsidRPr="00F553BA">
        <w:rPr>
          <w:rFonts w:ascii="Times New Roman" w:hAnsi="Times New Roman" w:cs="Times New Roman"/>
        </w:rPr>
        <w:t xml:space="preserve">Nwabueze, T.U., Edima-Nyah, A. and </w:t>
      </w:r>
      <w:proofErr w:type="spellStart"/>
      <w:r w:rsidRPr="00F553BA">
        <w:rPr>
          <w:rFonts w:ascii="Times New Roman" w:hAnsi="Times New Roman" w:cs="Times New Roman"/>
        </w:rPr>
        <w:t>Ojimelukwe</w:t>
      </w:r>
      <w:proofErr w:type="spellEnd"/>
      <w:r w:rsidRPr="00F553BA">
        <w:rPr>
          <w:rFonts w:ascii="Times New Roman" w:hAnsi="Times New Roman" w:cs="Times New Roman"/>
        </w:rPr>
        <w:t>, P.C. (2019). </w:t>
      </w:r>
      <w:r w:rsidRPr="00F553BA">
        <w:rPr>
          <w:rFonts w:ascii="Times New Roman" w:hAnsi="Times New Roman" w:cs="Times New Roman"/>
          <w:i/>
          <w:iCs/>
        </w:rPr>
        <w:t>Development and Quality evaluation of Snack Bars from African breadfruit (</w:t>
      </w:r>
      <w:proofErr w:type="spellStart"/>
      <w:r w:rsidRPr="00F553BA">
        <w:rPr>
          <w:rFonts w:ascii="Times New Roman" w:hAnsi="Times New Roman" w:cs="Times New Roman"/>
          <w:i/>
          <w:iCs/>
        </w:rPr>
        <w:t>Treculia</w:t>
      </w:r>
      <w:proofErr w:type="spellEnd"/>
      <w:r w:rsidRPr="00F553BA">
        <w:rPr>
          <w:rFonts w:ascii="Times New Roman" w:hAnsi="Times New Roman" w:cs="Times New Roman"/>
          <w:i/>
          <w:iCs/>
        </w:rPr>
        <w:t xml:space="preserve"> </w:t>
      </w:r>
      <w:proofErr w:type="spellStart"/>
      <w:r w:rsidRPr="00F553BA">
        <w:rPr>
          <w:rFonts w:ascii="Times New Roman" w:hAnsi="Times New Roman" w:cs="Times New Roman"/>
          <w:i/>
          <w:iCs/>
        </w:rPr>
        <w:t>africana</w:t>
      </w:r>
      <w:proofErr w:type="spellEnd"/>
      <w:r w:rsidRPr="00F553BA">
        <w:rPr>
          <w:rFonts w:ascii="Times New Roman" w:hAnsi="Times New Roman" w:cs="Times New Roman"/>
          <w:i/>
          <w:iCs/>
        </w:rPr>
        <w:t>), Maize (</w:t>
      </w:r>
      <w:proofErr w:type="spellStart"/>
      <w:r w:rsidRPr="00F553BA">
        <w:rPr>
          <w:rFonts w:ascii="Times New Roman" w:hAnsi="Times New Roman" w:cs="Times New Roman"/>
          <w:i/>
          <w:iCs/>
        </w:rPr>
        <w:t>Zea</w:t>
      </w:r>
      <w:proofErr w:type="spellEnd"/>
      <w:r w:rsidRPr="00F553BA">
        <w:rPr>
          <w:rFonts w:ascii="Times New Roman" w:hAnsi="Times New Roman" w:cs="Times New Roman"/>
          <w:i/>
          <w:iCs/>
        </w:rPr>
        <w:t xml:space="preserve"> mays) and Coconut (</w:t>
      </w:r>
      <w:proofErr w:type="spellStart"/>
      <w:r w:rsidRPr="00F553BA">
        <w:rPr>
          <w:rFonts w:ascii="Times New Roman" w:hAnsi="Times New Roman" w:cs="Times New Roman"/>
          <w:i/>
          <w:iCs/>
        </w:rPr>
        <w:t>Cocosnucifera</w:t>
      </w:r>
      <w:proofErr w:type="spellEnd"/>
      <w:r w:rsidRPr="00F553BA">
        <w:rPr>
          <w:rFonts w:ascii="Times New Roman" w:hAnsi="Times New Roman" w:cs="Times New Roman"/>
          <w:i/>
          <w:iCs/>
        </w:rPr>
        <w:t>) Blends</w:t>
      </w:r>
      <w:r w:rsidRPr="00F553BA">
        <w:rPr>
          <w:rFonts w:ascii="Times New Roman" w:hAnsi="Times New Roman" w:cs="Times New Roman"/>
        </w:rPr>
        <w:t>. [online] Available at: https://www.researchgate.net/publication/337058406_Development_and_Quality_evaluation_of_Snack_Bars_from_African_breadfruit_Treculia_africana_Maize_Zea_mays_and_Coconut_Cocosnucifera_Blends.</w:t>
      </w:r>
    </w:p>
    <w:p w14:paraId="0A7DAC29" w14:textId="4833E618" w:rsidR="00F553BA" w:rsidRPr="00F553BA" w:rsidRDefault="00F553BA" w:rsidP="00F553BA">
      <w:pPr>
        <w:rPr>
          <w:rFonts w:ascii="Times New Roman" w:hAnsi="Times New Roman" w:cs="Times New Roman"/>
        </w:rPr>
      </w:pPr>
      <w:r w:rsidRPr="00F553BA">
        <w:rPr>
          <w:rFonts w:ascii="Times New Roman" w:hAnsi="Times New Roman" w:cs="Times New Roman"/>
        </w:rPr>
        <w:t xml:space="preserve">Dimopoulou, M., Patroklos Vareltzis, Floros, S., Odysseas </w:t>
      </w:r>
      <w:proofErr w:type="spellStart"/>
      <w:r w:rsidRPr="00F553BA">
        <w:rPr>
          <w:rFonts w:ascii="Times New Roman" w:hAnsi="Times New Roman" w:cs="Times New Roman"/>
        </w:rPr>
        <w:t>Androutsos</w:t>
      </w:r>
      <w:proofErr w:type="spellEnd"/>
      <w:r w:rsidRPr="00F553BA">
        <w:rPr>
          <w:rFonts w:ascii="Times New Roman" w:hAnsi="Times New Roman" w:cs="Times New Roman"/>
        </w:rPr>
        <w:t xml:space="preserve">, </w:t>
      </w:r>
      <w:proofErr w:type="spellStart"/>
      <w:r w:rsidRPr="00F553BA">
        <w:rPr>
          <w:rFonts w:ascii="Times New Roman" w:hAnsi="Times New Roman" w:cs="Times New Roman"/>
        </w:rPr>
        <w:t>Αlexandra</w:t>
      </w:r>
      <w:proofErr w:type="spellEnd"/>
      <w:r w:rsidRPr="00F553BA">
        <w:rPr>
          <w:rFonts w:ascii="Times New Roman" w:hAnsi="Times New Roman" w:cs="Times New Roman"/>
        </w:rPr>
        <w:t xml:space="preserve"> </w:t>
      </w:r>
      <w:proofErr w:type="spellStart"/>
      <w:r w:rsidRPr="00F553BA">
        <w:rPr>
          <w:rFonts w:ascii="Times New Roman" w:hAnsi="Times New Roman" w:cs="Times New Roman"/>
        </w:rPr>
        <w:t>Bargiota</w:t>
      </w:r>
      <w:proofErr w:type="spellEnd"/>
      <w:r w:rsidRPr="00F553BA">
        <w:rPr>
          <w:rFonts w:ascii="Times New Roman" w:hAnsi="Times New Roman" w:cs="Times New Roman"/>
        </w:rPr>
        <w:t xml:space="preserve"> and </w:t>
      </w:r>
      <w:proofErr w:type="spellStart"/>
      <w:r w:rsidRPr="00F553BA">
        <w:rPr>
          <w:rFonts w:ascii="Times New Roman" w:hAnsi="Times New Roman" w:cs="Times New Roman"/>
        </w:rPr>
        <w:t>Gortzi</w:t>
      </w:r>
      <w:proofErr w:type="spellEnd"/>
      <w:r w:rsidRPr="00F553BA">
        <w:rPr>
          <w:rFonts w:ascii="Times New Roman" w:hAnsi="Times New Roman" w:cs="Times New Roman"/>
        </w:rPr>
        <w:t xml:space="preserve">, O. (2023). Development of a Functional Acceptable Diabetic and Plant-Based Snack Bar Using Mushroom (Coprinus </w:t>
      </w:r>
      <w:proofErr w:type="spellStart"/>
      <w:r w:rsidRPr="00F553BA">
        <w:rPr>
          <w:rFonts w:ascii="Times New Roman" w:hAnsi="Times New Roman" w:cs="Times New Roman"/>
        </w:rPr>
        <w:t>comatus</w:t>
      </w:r>
      <w:proofErr w:type="spellEnd"/>
      <w:r w:rsidRPr="00F553BA">
        <w:rPr>
          <w:rFonts w:ascii="Times New Roman" w:hAnsi="Times New Roman" w:cs="Times New Roman"/>
        </w:rPr>
        <w:t>) Powder. </w:t>
      </w:r>
      <w:r w:rsidRPr="00F553BA">
        <w:rPr>
          <w:rFonts w:ascii="Times New Roman" w:hAnsi="Times New Roman" w:cs="Times New Roman"/>
          <w:i/>
          <w:iCs/>
        </w:rPr>
        <w:t>Foods</w:t>
      </w:r>
      <w:r w:rsidRPr="00F553BA">
        <w:rPr>
          <w:rFonts w:ascii="Times New Roman" w:hAnsi="Times New Roman" w:cs="Times New Roman"/>
        </w:rPr>
        <w:t xml:space="preserve">, 12(14), pp.2702–2702. </w:t>
      </w:r>
      <w:proofErr w:type="spellStart"/>
      <w:proofErr w:type="gramStart"/>
      <w:r w:rsidRPr="00F553BA">
        <w:rPr>
          <w:rFonts w:ascii="Times New Roman" w:hAnsi="Times New Roman" w:cs="Times New Roman"/>
        </w:rPr>
        <w:t>doi:https</w:t>
      </w:r>
      <w:proofErr w:type="spellEnd"/>
      <w:r w:rsidRPr="00F553BA">
        <w:rPr>
          <w:rFonts w:ascii="Times New Roman" w:hAnsi="Times New Roman" w:cs="Times New Roman"/>
        </w:rPr>
        <w:t>://doi.org/10.3390/foods12142702</w:t>
      </w:r>
      <w:proofErr w:type="gramEnd"/>
      <w:r w:rsidRPr="00F553BA">
        <w:rPr>
          <w:rFonts w:ascii="Times New Roman" w:hAnsi="Times New Roman" w:cs="Times New Roman"/>
        </w:rPr>
        <w:t>.</w:t>
      </w:r>
    </w:p>
    <w:p w14:paraId="2ACD3EA6" w14:textId="77777777" w:rsidR="004A4170" w:rsidRPr="004A4170" w:rsidRDefault="004A4170" w:rsidP="004A4170">
      <w:pPr>
        <w:rPr>
          <w:rFonts w:ascii="Times New Roman" w:hAnsi="Times New Roman" w:cs="Times New Roman"/>
        </w:rPr>
      </w:pPr>
      <w:r w:rsidRPr="004A4170">
        <w:rPr>
          <w:rFonts w:ascii="Times New Roman" w:hAnsi="Times New Roman" w:cs="Times New Roman"/>
        </w:rPr>
        <w:t>Google.lk. (2025). </w:t>
      </w:r>
      <w:r w:rsidRPr="004A4170">
        <w:rPr>
          <w:rFonts w:ascii="Times New Roman" w:hAnsi="Times New Roman" w:cs="Times New Roman"/>
          <w:i/>
          <w:iCs/>
        </w:rPr>
        <w:t>Welcome To Zscaler Directory Authentication</w:t>
      </w:r>
      <w:r w:rsidRPr="004A4170">
        <w:rPr>
          <w:rFonts w:ascii="Times New Roman" w:hAnsi="Times New Roman" w:cs="Times New Roman"/>
        </w:rPr>
        <w:t>. [online] Available at: https://books.google.lk/books?hl=en&amp;lr=&amp;id=3zpbEAAAQBAJ&amp;oi=fnd&amp;pg=PA207&amp;dq=Palmyrah+and+Its+Nutritional+Importance+&amp;ots=b25mNgu1Fz&amp;sig=Ojxeo0MVn_0ZzQwUe0MT9YVfb10&amp;redir_esc=y#v=onepage&amp;q=Palmyrah%20and%20Its%20Nutritional%20Importance&amp;f=false [Accessed 31 Dec. 2025].</w:t>
      </w:r>
    </w:p>
    <w:p w14:paraId="1EE9417F" w14:textId="77777777" w:rsidR="004A4170" w:rsidRPr="004A4170" w:rsidRDefault="004A4170" w:rsidP="004A4170">
      <w:pPr>
        <w:rPr>
          <w:rFonts w:ascii="Times New Roman" w:hAnsi="Times New Roman" w:cs="Times New Roman"/>
        </w:rPr>
      </w:pPr>
      <w:r w:rsidRPr="004A4170">
        <w:rPr>
          <w:rFonts w:ascii="Times New Roman" w:hAnsi="Times New Roman" w:cs="Times New Roman"/>
        </w:rPr>
        <w:t>‌</w:t>
      </w:r>
    </w:p>
    <w:p w14:paraId="27769DF1" w14:textId="73589140" w:rsidR="0036391E" w:rsidRPr="0036391E" w:rsidRDefault="0036391E" w:rsidP="0036391E">
      <w:pPr>
        <w:rPr>
          <w:rFonts w:ascii="Times New Roman" w:hAnsi="Times New Roman" w:cs="Times New Roman"/>
        </w:rPr>
      </w:pPr>
    </w:p>
    <w:p w14:paraId="13D38C76" w14:textId="77777777" w:rsidR="0036391E" w:rsidRPr="005E6D42" w:rsidRDefault="0036391E" w:rsidP="005E6D42">
      <w:pPr>
        <w:rPr>
          <w:rFonts w:ascii="Times New Roman" w:hAnsi="Times New Roman" w:cs="Times New Roman"/>
        </w:rPr>
      </w:pPr>
    </w:p>
    <w:p w14:paraId="768F2763" w14:textId="77777777" w:rsidR="005E6D42" w:rsidRPr="005E6D42" w:rsidRDefault="005E6D42" w:rsidP="005E6D42">
      <w:pPr>
        <w:rPr>
          <w:rFonts w:ascii="Times New Roman" w:hAnsi="Times New Roman" w:cs="Times New Roman"/>
        </w:rPr>
      </w:pPr>
      <w:r w:rsidRPr="005E6D42">
        <w:rPr>
          <w:rFonts w:ascii="Times New Roman" w:hAnsi="Times New Roman" w:cs="Times New Roman"/>
        </w:rPr>
        <w:t>‌</w:t>
      </w:r>
    </w:p>
    <w:p w14:paraId="227F8F17" w14:textId="77777777" w:rsidR="005E6D42" w:rsidRPr="005F350C" w:rsidRDefault="005E6D42" w:rsidP="005E6D42">
      <w:pPr>
        <w:rPr>
          <w:rFonts w:ascii="Times New Roman" w:hAnsi="Times New Roman" w:cs="Times New Roman"/>
        </w:rPr>
      </w:pPr>
    </w:p>
    <w:p w14:paraId="49714BE0" w14:textId="77777777" w:rsidR="005E6D42" w:rsidRPr="005F350C" w:rsidRDefault="005E6D42" w:rsidP="005E6D42">
      <w:pPr>
        <w:rPr>
          <w:rFonts w:ascii="Times New Roman" w:hAnsi="Times New Roman" w:cs="Times New Roman"/>
        </w:rPr>
      </w:pPr>
    </w:p>
    <w:p w14:paraId="1A78AAF7" w14:textId="77777777" w:rsidR="005E6D42" w:rsidRPr="005F350C" w:rsidRDefault="005E6D42" w:rsidP="005E6D42">
      <w:pPr>
        <w:rPr>
          <w:rFonts w:ascii="Times New Roman" w:hAnsi="Times New Roman" w:cs="Times New Roman"/>
        </w:rPr>
      </w:pPr>
    </w:p>
    <w:p w14:paraId="3138D888" w14:textId="77777777" w:rsidR="009A4FD1" w:rsidRDefault="009A4FD1"/>
    <w:sectPr w:rsidR="009A4FD1" w:rsidSect="005E6D4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2"/>
    <w:rsid w:val="00003D74"/>
    <w:rsid w:val="000810BA"/>
    <w:rsid w:val="000B7B8B"/>
    <w:rsid w:val="00121923"/>
    <w:rsid w:val="001646CD"/>
    <w:rsid w:val="00192A8D"/>
    <w:rsid w:val="0022554C"/>
    <w:rsid w:val="002A3A1F"/>
    <w:rsid w:val="0036391E"/>
    <w:rsid w:val="003A4EA8"/>
    <w:rsid w:val="00474C84"/>
    <w:rsid w:val="004A4170"/>
    <w:rsid w:val="004A721B"/>
    <w:rsid w:val="00504C08"/>
    <w:rsid w:val="00513E58"/>
    <w:rsid w:val="0058166A"/>
    <w:rsid w:val="005B3D81"/>
    <w:rsid w:val="005B7082"/>
    <w:rsid w:val="005D62DD"/>
    <w:rsid w:val="005E6D42"/>
    <w:rsid w:val="006074EC"/>
    <w:rsid w:val="00721131"/>
    <w:rsid w:val="00727177"/>
    <w:rsid w:val="007B7E55"/>
    <w:rsid w:val="007D7330"/>
    <w:rsid w:val="0089598F"/>
    <w:rsid w:val="008C2B53"/>
    <w:rsid w:val="009071C5"/>
    <w:rsid w:val="00946223"/>
    <w:rsid w:val="009A4FD1"/>
    <w:rsid w:val="00A1195C"/>
    <w:rsid w:val="00A67F72"/>
    <w:rsid w:val="00B172D0"/>
    <w:rsid w:val="00B47070"/>
    <w:rsid w:val="00BD09C7"/>
    <w:rsid w:val="00C6320A"/>
    <w:rsid w:val="00C721A5"/>
    <w:rsid w:val="00EA285E"/>
    <w:rsid w:val="00F45C52"/>
    <w:rsid w:val="00F553BA"/>
    <w:rsid w:val="00F74D09"/>
    <w:rsid w:val="00FE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284F"/>
  <w15:chartTrackingRefBased/>
  <w15:docId w15:val="{1EA9195B-9193-4724-809F-5ACB35E3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42"/>
  </w:style>
  <w:style w:type="paragraph" w:styleId="Heading1">
    <w:name w:val="heading 1"/>
    <w:basedOn w:val="Normal"/>
    <w:next w:val="Normal"/>
    <w:link w:val="Heading1Char"/>
    <w:uiPriority w:val="9"/>
    <w:qFormat/>
    <w:rsid w:val="005E6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D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D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D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D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D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D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42"/>
    <w:rPr>
      <w:rFonts w:eastAsiaTheme="majorEastAsia" w:cstheme="majorBidi"/>
      <w:color w:val="272727" w:themeColor="text1" w:themeTint="D8"/>
    </w:rPr>
  </w:style>
  <w:style w:type="paragraph" w:styleId="Title">
    <w:name w:val="Title"/>
    <w:basedOn w:val="Normal"/>
    <w:next w:val="Normal"/>
    <w:link w:val="TitleChar"/>
    <w:uiPriority w:val="10"/>
    <w:qFormat/>
    <w:rsid w:val="005E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42"/>
    <w:pPr>
      <w:spacing w:before="160"/>
      <w:jc w:val="center"/>
    </w:pPr>
    <w:rPr>
      <w:i/>
      <w:iCs/>
      <w:color w:val="404040" w:themeColor="text1" w:themeTint="BF"/>
    </w:rPr>
  </w:style>
  <w:style w:type="character" w:customStyle="1" w:styleId="QuoteChar">
    <w:name w:val="Quote Char"/>
    <w:basedOn w:val="DefaultParagraphFont"/>
    <w:link w:val="Quote"/>
    <w:uiPriority w:val="29"/>
    <w:rsid w:val="005E6D42"/>
    <w:rPr>
      <w:i/>
      <w:iCs/>
      <w:color w:val="404040" w:themeColor="text1" w:themeTint="BF"/>
    </w:rPr>
  </w:style>
  <w:style w:type="paragraph" w:styleId="ListParagraph">
    <w:name w:val="List Paragraph"/>
    <w:basedOn w:val="Normal"/>
    <w:uiPriority w:val="34"/>
    <w:qFormat/>
    <w:rsid w:val="005E6D42"/>
    <w:pPr>
      <w:ind w:left="720"/>
      <w:contextualSpacing/>
    </w:pPr>
  </w:style>
  <w:style w:type="character" w:styleId="IntenseEmphasis">
    <w:name w:val="Intense Emphasis"/>
    <w:basedOn w:val="DefaultParagraphFont"/>
    <w:uiPriority w:val="21"/>
    <w:qFormat/>
    <w:rsid w:val="005E6D42"/>
    <w:rPr>
      <w:i/>
      <w:iCs/>
      <w:color w:val="2F5496" w:themeColor="accent1" w:themeShade="BF"/>
    </w:rPr>
  </w:style>
  <w:style w:type="paragraph" w:styleId="IntenseQuote">
    <w:name w:val="Intense Quote"/>
    <w:basedOn w:val="Normal"/>
    <w:next w:val="Normal"/>
    <w:link w:val="IntenseQuoteChar"/>
    <w:uiPriority w:val="30"/>
    <w:qFormat/>
    <w:rsid w:val="005E6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D42"/>
    <w:rPr>
      <w:i/>
      <w:iCs/>
      <w:color w:val="2F5496" w:themeColor="accent1" w:themeShade="BF"/>
    </w:rPr>
  </w:style>
  <w:style w:type="character" w:styleId="IntenseReference">
    <w:name w:val="Intense Reference"/>
    <w:basedOn w:val="DefaultParagraphFont"/>
    <w:uiPriority w:val="32"/>
    <w:qFormat/>
    <w:rsid w:val="005E6D42"/>
    <w:rPr>
      <w:b/>
      <w:bCs/>
      <w:smallCaps/>
      <w:color w:val="2F5496" w:themeColor="accent1" w:themeShade="BF"/>
      <w:spacing w:val="5"/>
    </w:rPr>
  </w:style>
  <w:style w:type="paragraph" w:customStyle="1" w:styleId="AbstractText">
    <w:name w:val="Abstract Text"/>
    <w:basedOn w:val="BodyText"/>
    <w:rsid w:val="005E6D42"/>
    <w:pPr>
      <w:keepNext/>
      <w:tabs>
        <w:tab w:val="right" w:pos="8640"/>
      </w:tabs>
      <w:spacing w:after="0" w:line="480" w:lineRule="auto"/>
    </w:pPr>
    <w:rPr>
      <w:rFonts w:ascii="Times New Roman" w:eastAsia="Times New Roman" w:hAnsi="Times New Roman" w:cs="Times New Roman"/>
      <w:kern w:val="0"/>
      <w:szCs w:val="22"/>
      <w14:ligatures w14:val="none"/>
    </w:rPr>
  </w:style>
  <w:style w:type="character" w:styleId="Hyperlink">
    <w:name w:val="Hyperlink"/>
    <w:basedOn w:val="DefaultParagraphFont"/>
    <w:uiPriority w:val="99"/>
    <w:unhideWhenUsed/>
    <w:rsid w:val="005E6D42"/>
    <w:rPr>
      <w:color w:val="0563C1" w:themeColor="hyperlink"/>
      <w:u w:val="single"/>
    </w:rPr>
  </w:style>
  <w:style w:type="paragraph" w:styleId="BodyText">
    <w:name w:val="Body Text"/>
    <w:basedOn w:val="Normal"/>
    <w:link w:val="BodyTextChar"/>
    <w:uiPriority w:val="99"/>
    <w:semiHidden/>
    <w:unhideWhenUsed/>
    <w:rsid w:val="005E6D42"/>
    <w:pPr>
      <w:spacing w:after="120"/>
    </w:pPr>
  </w:style>
  <w:style w:type="character" w:customStyle="1" w:styleId="BodyTextChar">
    <w:name w:val="Body Text Char"/>
    <w:basedOn w:val="DefaultParagraphFont"/>
    <w:link w:val="BodyText"/>
    <w:uiPriority w:val="99"/>
    <w:semiHidden/>
    <w:rsid w:val="005E6D42"/>
  </w:style>
  <w:style w:type="table" w:styleId="TableGrid">
    <w:name w:val="Table Grid"/>
    <w:basedOn w:val="TableNormal"/>
    <w:uiPriority w:val="39"/>
    <w:rsid w:val="000B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514">
      <w:bodyDiv w:val="1"/>
      <w:marLeft w:val="0"/>
      <w:marRight w:val="0"/>
      <w:marTop w:val="0"/>
      <w:marBottom w:val="0"/>
      <w:divBdr>
        <w:top w:val="none" w:sz="0" w:space="0" w:color="auto"/>
        <w:left w:val="none" w:sz="0" w:space="0" w:color="auto"/>
        <w:bottom w:val="none" w:sz="0" w:space="0" w:color="auto"/>
        <w:right w:val="none" w:sz="0" w:space="0" w:color="auto"/>
      </w:divBdr>
    </w:div>
    <w:div w:id="39403956">
      <w:bodyDiv w:val="1"/>
      <w:marLeft w:val="0"/>
      <w:marRight w:val="0"/>
      <w:marTop w:val="0"/>
      <w:marBottom w:val="0"/>
      <w:divBdr>
        <w:top w:val="none" w:sz="0" w:space="0" w:color="auto"/>
        <w:left w:val="none" w:sz="0" w:space="0" w:color="auto"/>
        <w:bottom w:val="none" w:sz="0" w:space="0" w:color="auto"/>
        <w:right w:val="none" w:sz="0" w:space="0" w:color="auto"/>
      </w:divBdr>
    </w:div>
    <w:div w:id="51971828">
      <w:bodyDiv w:val="1"/>
      <w:marLeft w:val="0"/>
      <w:marRight w:val="0"/>
      <w:marTop w:val="0"/>
      <w:marBottom w:val="0"/>
      <w:divBdr>
        <w:top w:val="none" w:sz="0" w:space="0" w:color="auto"/>
        <w:left w:val="none" w:sz="0" w:space="0" w:color="auto"/>
        <w:bottom w:val="none" w:sz="0" w:space="0" w:color="auto"/>
        <w:right w:val="none" w:sz="0" w:space="0" w:color="auto"/>
      </w:divBdr>
    </w:div>
    <w:div w:id="105003327">
      <w:bodyDiv w:val="1"/>
      <w:marLeft w:val="0"/>
      <w:marRight w:val="0"/>
      <w:marTop w:val="0"/>
      <w:marBottom w:val="0"/>
      <w:divBdr>
        <w:top w:val="none" w:sz="0" w:space="0" w:color="auto"/>
        <w:left w:val="none" w:sz="0" w:space="0" w:color="auto"/>
        <w:bottom w:val="none" w:sz="0" w:space="0" w:color="auto"/>
        <w:right w:val="none" w:sz="0" w:space="0" w:color="auto"/>
      </w:divBdr>
    </w:div>
    <w:div w:id="190387342">
      <w:bodyDiv w:val="1"/>
      <w:marLeft w:val="0"/>
      <w:marRight w:val="0"/>
      <w:marTop w:val="0"/>
      <w:marBottom w:val="0"/>
      <w:divBdr>
        <w:top w:val="none" w:sz="0" w:space="0" w:color="auto"/>
        <w:left w:val="none" w:sz="0" w:space="0" w:color="auto"/>
        <w:bottom w:val="none" w:sz="0" w:space="0" w:color="auto"/>
        <w:right w:val="none" w:sz="0" w:space="0" w:color="auto"/>
      </w:divBdr>
    </w:div>
    <w:div w:id="298922530">
      <w:bodyDiv w:val="1"/>
      <w:marLeft w:val="0"/>
      <w:marRight w:val="0"/>
      <w:marTop w:val="0"/>
      <w:marBottom w:val="0"/>
      <w:divBdr>
        <w:top w:val="none" w:sz="0" w:space="0" w:color="auto"/>
        <w:left w:val="none" w:sz="0" w:space="0" w:color="auto"/>
        <w:bottom w:val="none" w:sz="0" w:space="0" w:color="auto"/>
        <w:right w:val="none" w:sz="0" w:space="0" w:color="auto"/>
      </w:divBdr>
    </w:div>
    <w:div w:id="364988978">
      <w:bodyDiv w:val="1"/>
      <w:marLeft w:val="0"/>
      <w:marRight w:val="0"/>
      <w:marTop w:val="0"/>
      <w:marBottom w:val="0"/>
      <w:divBdr>
        <w:top w:val="none" w:sz="0" w:space="0" w:color="auto"/>
        <w:left w:val="none" w:sz="0" w:space="0" w:color="auto"/>
        <w:bottom w:val="none" w:sz="0" w:space="0" w:color="auto"/>
        <w:right w:val="none" w:sz="0" w:space="0" w:color="auto"/>
      </w:divBdr>
    </w:div>
    <w:div w:id="482627780">
      <w:bodyDiv w:val="1"/>
      <w:marLeft w:val="0"/>
      <w:marRight w:val="0"/>
      <w:marTop w:val="0"/>
      <w:marBottom w:val="0"/>
      <w:divBdr>
        <w:top w:val="none" w:sz="0" w:space="0" w:color="auto"/>
        <w:left w:val="none" w:sz="0" w:space="0" w:color="auto"/>
        <w:bottom w:val="none" w:sz="0" w:space="0" w:color="auto"/>
        <w:right w:val="none" w:sz="0" w:space="0" w:color="auto"/>
      </w:divBdr>
    </w:div>
    <w:div w:id="538278999">
      <w:bodyDiv w:val="1"/>
      <w:marLeft w:val="0"/>
      <w:marRight w:val="0"/>
      <w:marTop w:val="0"/>
      <w:marBottom w:val="0"/>
      <w:divBdr>
        <w:top w:val="none" w:sz="0" w:space="0" w:color="auto"/>
        <w:left w:val="none" w:sz="0" w:space="0" w:color="auto"/>
        <w:bottom w:val="none" w:sz="0" w:space="0" w:color="auto"/>
        <w:right w:val="none" w:sz="0" w:space="0" w:color="auto"/>
      </w:divBdr>
    </w:div>
    <w:div w:id="566574242">
      <w:bodyDiv w:val="1"/>
      <w:marLeft w:val="0"/>
      <w:marRight w:val="0"/>
      <w:marTop w:val="0"/>
      <w:marBottom w:val="0"/>
      <w:divBdr>
        <w:top w:val="none" w:sz="0" w:space="0" w:color="auto"/>
        <w:left w:val="none" w:sz="0" w:space="0" w:color="auto"/>
        <w:bottom w:val="none" w:sz="0" w:space="0" w:color="auto"/>
        <w:right w:val="none" w:sz="0" w:space="0" w:color="auto"/>
      </w:divBdr>
    </w:div>
    <w:div w:id="687635124">
      <w:bodyDiv w:val="1"/>
      <w:marLeft w:val="0"/>
      <w:marRight w:val="0"/>
      <w:marTop w:val="0"/>
      <w:marBottom w:val="0"/>
      <w:divBdr>
        <w:top w:val="none" w:sz="0" w:space="0" w:color="auto"/>
        <w:left w:val="none" w:sz="0" w:space="0" w:color="auto"/>
        <w:bottom w:val="none" w:sz="0" w:space="0" w:color="auto"/>
        <w:right w:val="none" w:sz="0" w:space="0" w:color="auto"/>
      </w:divBdr>
    </w:div>
    <w:div w:id="778529786">
      <w:bodyDiv w:val="1"/>
      <w:marLeft w:val="0"/>
      <w:marRight w:val="0"/>
      <w:marTop w:val="0"/>
      <w:marBottom w:val="0"/>
      <w:divBdr>
        <w:top w:val="none" w:sz="0" w:space="0" w:color="auto"/>
        <w:left w:val="none" w:sz="0" w:space="0" w:color="auto"/>
        <w:bottom w:val="none" w:sz="0" w:space="0" w:color="auto"/>
        <w:right w:val="none" w:sz="0" w:space="0" w:color="auto"/>
      </w:divBdr>
    </w:div>
    <w:div w:id="907303551">
      <w:bodyDiv w:val="1"/>
      <w:marLeft w:val="0"/>
      <w:marRight w:val="0"/>
      <w:marTop w:val="0"/>
      <w:marBottom w:val="0"/>
      <w:divBdr>
        <w:top w:val="none" w:sz="0" w:space="0" w:color="auto"/>
        <w:left w:val="none" w:sz="0" w:space="0" w:color="auto"/>
        <w:bottom w:val="none" w:sz="0" w:space="0" w:color="auto"/>
        <w:right w:val="none" w:sz="0" w:space="0" w:color="auto"/>
      </w:divBdr>
    </w:div>
    <w:div w:id="909774934">
      <w:bodyDiv w:val="1"/>
      <w:marLeft w:val="0"/>
      <w:marRight w:val="0"/>
      <w:marTop w:val="0"/>
      <w:marBottom w:val="0"/>
      <w:divBdr>
        <w:top w:val="none" w:sz="0" w:space="0" w:color="auto"/>
        <w:left w:val="none" w:sz="0" w:space="0" w:color="auto"/>
        <w:bottom w:val="none" w:sz="0" w:space="0" w:color="auto"/>
        <w:right w:val="none" w:sz="0" w:space="0" w:color="auto"/>
      </w:divBdr>
    </w:div>
    <w:div w:id="961231393">
      <w:bodyDiv w:val="1"/>
      <w:marLeft w:val="0"/>
      <w:marRight w:val="0"/>
      <w:marTop w:val="0"/>
      <w:marBottom w:val="0"/>
      <w:divBdr>
        <w:top w:val="none" w:sz="0" w:space="0" w:color="auto"/>
        <w:left w:val="none" w:sz="0" w:space="0" w:color="auto"/>
        <w:bottom w:val="none" w:sz="0" w:space="0" w:color="auto"/>
        <w:right w:val="none" w:sz="0" w:space="0" w:color="auto"/>
      </w:divBdr>
    </w:div>
    <w:div w:id="1084184220">
      <w:bodyDiv w:val="1"/>
      <w:marLeft w:val="0"/>
      <w:marRight w:val="0"/>
      <w:marTop w:val="0"/>
      <w:marBottom w:val="0"/>
      <w:divBdr>
        <w:top w:val="none" w:sz="0" w:space="0" w:color="auto"/>
        <w:left w:val="none" w:sz="0" w:space="0" w:color="auto"/>
        <w:bottom w:val="none" w:sz="0" w:space="0" w:color="auto"/>
        <w:right w:val="none" w:sz="0" w:space="0" w:color="auto"/>
      </w:divBdr>
    </w:div>
    <w:div w:id="1085802327">
      <w:bodyDiv w:val="1"/>
      <w:marLeft w:val="0"/>
      <w:marRight w:val="0"/>
      <w:marTop w:val="0"/>
      <w:marBottom w:val="0"/>
      <w:divBdr>
        <w:top w:val="none" w:sz="0" w:space="0" w:color="auto"/>
        <w:left w:val="none" w:sz="0" w:space="0" w:color="auto"/>
        <w:bottom w:val="none" w:sz="0" w:space="0" w:color="auto"/>
        <w:right w:val="none" w:sz="0" w:space="0" w:color="auto"/>
      </w:divBdr>
    </w:div>
    <w:div w:id="1246113350">
      <w:bodyDiv w:val="1"/>
      <w:marLeft w:val="0"/>
      <w:marRight w:val="0"/>
      <w:marTop w:val="0"/>
      <w:marBottom w:val="0"/>
      <w:divBdr>
        <w:top w:val="none" w:sz="0" w:space="0" w:color="auto"/>
        <w:left w:val="none" w:sz="0" w:space="0" w:color="auto"/>
        <w:bottom w:val="none" w:sz="0" w:space="0" w:color="auto"/>
        <w:right w:val="none" w:sz="0" w:space="0" w:color="auto"/>
      </w:divBdr>
    </w:div>
    <w:div w:id="1253276853">
      <w:bodyDiv w:val="1"/>
      <w:marLeft w:val="0"/>
      <w:marRight w:val="0"/>
      <w:marTop w:val="0"/>
      <w:marBottom w:val="0"/>
      <w:divBdr>
        <w:top w:val="none" w:sz="0" w:space="0" w:color="auto"/>
        <w:left w:val="none" w:sz="0" w:space="0" w:color="auto"/>
        <w:bottom w:val="none" w:sz="0" w:space="0" w:color="auto"/>
        <w:right w:val="none" w:sz="0" w:space="0" w:color="auto"/>
      </w:divBdr>
    </w:div>
    <w:div w:id="1285232203">
      <w:bodyDiv w:val="1"/>
      <w:marLeft w:val="0"/>
      <w:marRight w:val="0"/>
      <w:marTop w:val="0"/>
      <w:marBottom w:val="0"/>
      <w:divBdr>
        <w:top w:val="none" w:sz="0" w:space="0" w:color="auto"/>
        <w:left w:val="none" w:sz="0" w:space="0" w:color="auto"/>
        <w:bottom w:val="none" w:sz="0" w:space="0" w:color="auto"/>
        <w:right w:val="none" w:sz="0" w:space="0" w:color="auto"/>
      </w:divBdr>
    </w:div>
    <w:div w:id="1417094475">
      <w:bodyDiv w:val="1"/>
      <w:marLeft w:val="0"/>
      <w:marRight w:val="0"/>
      <w:marTop w:val="0"/>
      <w:marBottom w:val="0"/>
      <w:divBdr>
        <w:top w:val="none" w:sz="0" w:space="0" w:color="auto"/>
        <w:left w:val="none" w:sz="0" w:space="0" w:color="auto"/>
        <w:bottom w:val="none" w:sz="0" w:space="0" w:color="auto"/>
        <w:right w:val="none" w:sz="0" w:space="0" w:color="auto"/>
      </w:divBdr>
    </w:div>
    <w:div w:id="1579367178">
      <w:bodyDiv w:val="1"/>
      <w:marLeft w:val="0"/>
      <w:marRight w:val="0"/>
      <w:marTop w:val="0"/>
      <w:marBottom w:val="0"/>
      <w:divBdr>
        <w:top w:val="none" w:sz="0" w:space="0" w:color="auto"/>
        <w:left w:val="none" w:sz="0" w:space="0" w:color="auto"/>
        <w:bottom w:val="none" w:sz="0" w:space="0" w:color="auto"/>
        <w:right w:val="none" w:sz="0" w:space="0" w:color="auto"/>
      </w:divBdr>
    </w:div>
    <w:div w:id="1623609152">
      <w:bodyDiv w:val="1"/>
      <w:marLeft w:val="0"/>
      <w:marRight w:val="0"/>
      <w:marTop w:val="0"/>
      <w:marBottom w:val="0"/>
      <w:divBdr>
        <w:top w:val="none" w:sz="0" w:space="0" w:color="auto"/>
        <w:left w:val="none" w:sz="0" w:space="0" w:color="auto"/>
        <w:bottom w:val="none" w:sz="0" w:space="0" w:color="auto"/>
        <w:right w:val="none" w:sz="0" w:space="0" w:color="auto"/>
      </w:divBdr>
    </w:div>
    <w:div w:id="1683628701">
      <w:bodyDiv w:val="1"/>
      <w:marLeft w:val="0"/>
      <w:marRight w:val="0"/>
      <w:marTop w:val="0"/>
      <w:marBottom w:val="0"/>
      <w:divBdr>
        <w:top w:val="none" w:sz="0" w:space="0" w:color="auto"/>
        <w:left w:val="none" w:sz="0" w:space="0" w:color="auto"/>
        <w:bottom w:val="none" w:sz="0" w:space="0" w:color="auto"/>
        <w:right w:val="none" w:sz="0" w:space="0" w:color="auto"/>
      </w:divBdr>
    </w:div>
    <w:div w:id="1840466504">
      <w:bodyDiv w:val="1"/>
      <w:marLeft w:val="0"/>
      <w:marRight w:val="0"/>
      <w:marTop w:val="0"/>
      <w:marBottom w:val="0"/>
      <w:divBdr>
        <w:top w:val="none" w:sz="0" w:space="0" w:color="auto"/>
        <w:left w:val="none" w:sz="0" w:space="0" w:color="auto"/>
        <w:bottom w:val="none" w:sz="0" w:space="0" w:color="auto"/>
        <w:right w:val="none" w:sz="0" w:space="0" w:color="auto"/>
      </w:divBdr>
    </w:div>
    <w:div w:id="1854103653">
      <w:bodyDiv w:val="1"/>
      <w:marLeft w:val="0"/>
      <w:marRight w:val="0"/>
      <w:marTop w:val="0"/>
      <w:marBottom w:val="0"/>
      <w:divBdr>
        <w:top w:val="none" w:sz="0" w:space="0" w:color="auto"/>
        <w:left w:val="none" w:sz="0" w:space="0" w:color="auto"/>
        <w:bottom w:val="none" w:sz="0" w:space="0" w:color="auto"/>
        <w:right w:val="none" w:sz="0" w:space="0" w:color="auto"/>
      </w:divBdr>
    </w:div>
    <w:div w:id="1868373610">
      <w:bodyDiv w:val="1"/>
      <w:marLeft w:val="0"/>
      <w:marRight w:val="0"/>
      <w:marTop w:val="0"/>
      <w:marBottom w:val="0"/>
      <w:divBdr>
        <w:top w:val="none" w:sz="0" w:space="0" w:color="auto"/>
        <w:left w:val="none" w:sz="0" w:space="0" w:color="auto"/>
        <w:bottom w:val="none" w:sz="0" w:space="0" w:color="auto"/>
        <w:right w:val="none" w:sz="0" w:space="0" w:color="auto"/>
      </w:divBdr>
    </w:div>
    <w:div w:id="21211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10lux20mar@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SPSS%20output\senso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Sensory!$Z$2</c:f>
              <c:strCache>
                <c:ptCount val="1"/>
                <c:pt idx="0">
                  <c:v>F1</c:v>
                </c:pt>
              </c:strCache>
            </c:strRef>
          </c:tx>
          <c:spPr>
            <a:ln w="28575" cap="rnd">
              <a:solidFill>
                <a:schemeClr val="accent1"/>
              </a:solidFill>
              <a:round/>
            </a:ln>
            <a:effectLst/>
          </c:spPr>
          <c:marker>
            <c:symbol val="none"/>
          </c:marker>
          <c:cat>
            <c:strRef>
              <c:f>Sensory!$Y$3:$Y$8</c:f>
              <c:strCache>
                <c:ptCount val="6"/>
                <c:pt idx="0">
                  <c:v>Apperance</c:v>
                </c:pt>
                <c:pt idx="1">
                  <c:v>Taste</c:v>
                </c:pt>
                <c:pt idx="2">
                  <c:v>Texture</c:v>
                </c:pt>
                <c:pt idx="3">
                  <c:v>Aroma</c:v>
                </c:pt>
                <c:pt idx="4">
                  <c:v>Sweet</c:v>
                </c:pt>
                <c:pt idx="5">
                  <c:v>Overall Acceptablity</c:v>
                </c:pt>
              </c:strCache>
            </c:strRef>
          </c:cat>
          <c:val>
            <c:numRef>
              <c:f>Sensory!$Z$3:$Z$8</c:f>
              <c:numCache>
                <c:formatCode>General</c:formatCode>
                <c:ptCount val="6"/>
                <c:pt idx="0">
                  <c:v>6.6</c:v>
                </c:pt>
                <c:pt idx="1">
                  <c:v>6</c:v>
                </c:pt>
                <c:pt idx="2">
                  <c:v>5</c:v>
                </c:pt>
                <c:pt idx="3">
                  <c:v>6.8</c:v>
                </c:pt>
                <c:pt idx="4">
                  <c:v>8</c:v>
                </c:pt>
                <c:pt idx="5">
                  <c:v>7.1</c:v>
                </c:pt>
              </c:numCache>
            </c:numRef>
          </c:val>
          <c:extLst>
            <c:ext xmlns:c16="http://schemas.microsoft.com/office/drawing/2014/chart" uri="{C3380CC4-5D6E-409C-BE32-E72D297353CC}">
              <c16:uniqueId val="{00000000-38D5-4415-B991-A33E98EF2749}"/>
            </c:ext>
          </c:extLst>
        </c:ser>
        <c:ser>
          <c:idx val="1"/>
          <c:order val="1"/>
          <c:tx>
            <c:strRef>
              <c:f>Sensory!$AA$2</c:f>
              <c:strCache>
                <c:ptCount val="1"/>
                <c:pt idx="0">
                  <c:v>F2</c:v>
                </c:pt>
              </c:strCache>
            </c:strRef>
          </c:tx>
          <c:spPr>
            <a:ln w="28575" cap="rnd">
              <a:solidFill>
                <a:schemeClr val="accent2"/>
              </a:solidFill>
              <a:round/>
            </a:ln>
            <a:effectLst/>
          </c:spPr>
          <c:marker>
            <c:symbol val="none"/>
          </c:marker>
          <c:cat>
            <c:strRef>
              <c:f>Sensory!$Y$3:$Y$8</c:f>
              <c:strCache>
                <c:ptCount val="6"/>
                <c:pt idx="0">
                  <c:v>Apperance</c:v>
                </c:pt>
                <c:pt idx="1">
                  <c:v>Taste</c:v>
                </c:pt>
                <c:pt idx="2">
                  <c:v>Texture</c:v>
                </c:pt>
                <c:pt idx="3">
                  <c:v>Aroma</c:v>
                </c:pt>
                <c:pt idx="4">
                  <c:v>Sweet</c:v>
                </c:pt>
                <c:pt idx="5">
                  <c:v>Overall Acceptablity</c:v>
                </c:pt>
              </c:strCache>
            </c:strRef>
          </c:cat>
          <c:val>
            <c:numRef>
              <c:f>Sensory!$AA$3:$AA$8</c:f>
              <c:numCache>
                <c:formatCode>General</c:formatCode>
                <c:ptCount val="6"/>
                <c:pt idx="0">
                  <c:v>6.9</c:v>
                </c:pt>
                <c:pt idx="1">
                  <c:v>7</c:v>
                </c:pt>
                <c:pt idx="2">
                  <c:v>6.9</c:v>
                </c:pt>
                <c:pt idx="3">
                  <c:v>6.8</c:v>
                </c:pt>
                <c:pt idx="4">
                  <c:v>6.9</c:v>
                </c:pt>
                <c:pt idx="5">
                  <c:v>7.2</c:v>
                </c:pt>
              </c:numCache>
            </c:numRef>
          </c:val>
          <c:extLst>
            <c:ext xmlns:c16="http://schemas.microsoft.com/office/drawing/2014/chart" uri="{C3380CC4-5D6E-409C-BE32-E72D297353CC}">
              <c16:uniqueId val="{00000001-38D5-4415-B991-A33E98EF2749}"/>
            </c:ext>
          </c:extLst>
        </c:ser>
        <c:ser>
          <c:idx val="2"/>
          <c:order val="2"/>
          <c:tx>
            <c:strRef>
              <c:f>Sensory!$AB$2</c:f>
              <c:strCache>
                <c:ptCount val="1"/>
                <c:pt idx="0">
                  <c:v>F3</c:v>
                </c:pt>
              </c:strCache>
            </c:strRef>
          </c:tx>
          <c:spPr>
            <a:ln w="28575" cap="rnd">
              <a:solidFill>
                <a:srgbClr val="00B050"/>
              </a:solidFill>
              <a:round/>
            </a:ln>
            <a:effectLst/>
          </c:spPr>
          <c:marker>
            <c:symbol val="none"/>
          </c:marker>
          <c:cat>
            <c:strRef>
              <c:f>Sensory!$Y$3:$Y$8</c:f>
              <c:strCache>
                <c:ptCount val="6"/>
                <c:pt idx="0">
                  <c:v>Apperance</c:v>
                </c:pt>
                <c:pt idx="1">
                  <c:v>Taste</c:v>
                </c:pt>
                <c:pt idx="2">
                  <c:v>Texture</c:v>
                </c:pt>
                <c:pt idx="3">
                  <c:v>Aroma</c:v>
                </c:pt>
                <c:pt idx="4">
                  <c:v>Sweet</c:v>
                </c:pt>
                <c:pt idx="5">
                  <c:v>Overall Acceptablity</c:v>
                </c:pt>
              </c:strCache>
            </c:strRef>
          </c:cat>
          <c:val>
            <c:numRef>
              <c:f>Sensory!$AB$3:$AB$8</c:f>
              <c:numCache>
                <c:formatCode>General</c:formatCode>
                <c:ptCount val="6"/>
                <c:pt idx="0">
                  <c:v>7.2</c:v>
                </c:pt>
                <c:pt idx="1">
                  <c:v>7.6</c:v>
                </c:pt>
                <c:pt idx="2">
                  <c:v>7.3</c:v>
                </c:pt>
                <c:pt idx="3">
                  <c:v>7.2</c:v>
                </c:pt>
                <c:pt idx="4">
                  <c:v>7.1</c:v>
                </c:pt>
                <c:pt idx="5">
                  <c:v>8.1999999999999993</c:v>
                </c:pt>
              </c:numCache>
            </c:numRef>
          </c:val>
          <c:extLst>
            <c:ext xmlns:c16="http://schemas.microsoft.com/office/drawing/2014/chart" uri="{C3380CC4-5D6E-409C-BE32-E72D297353CC}">
              <c16:uniqueId val="{00000002-38D5-4415-B991-A33E98EF2749}"/>
            </c:ext>
          </c:extLst>
        </c:ser>
        <c:ser>
          <c:idx val="3"/>
          <c:order val="3"/>
          <c:tx>
            <c:strRef>
              <c:f>Sensory!$AC$2</c:f>
              <c:strCache>
                <c:ptCount val="1"/>
                <c:pt idx="0">
                  <c:v>F4</c:v>
                </c:pt>
              </c:strCache>
            </c:strRef>
          </c:tx>
          <c:spPr>
            <a:ln w="28575" cap="rnd">
              <a:solidFill>
                <a:schemeClr val="accent4"/>
              </a:solidFill>
              <a:round/>
            </a:ln>
            <a:effectLst/>
          </c:spPr>
          <c:marker>
            <c:symbol val="none"/>
          </c:marker>
          <c:cat>
            <c:strRef>
              <c:f>Sensory!$Y$3:$Y$8</c:f>
              <c:strCache>
                <c:ptCount val="6"/>
                <c:pt idx="0">
                  <c:v>Apperance</c:v>
                </c:pt>
                <c:pt idx="1">
                  <c:v>Taste</c:v>
                </c:pt>
                <c:pt idx="2">
                  <c:v>Texture</c:v>
                </c:pt>
                <c:pt idx="3">
                  <c:v>Aroma</c:v>
                </c:pt>
                <c:pt idx="4">
                  <c:v>Sweet</c:v>
                </c:pt>
                <c:pt idx="5">
                  <c:v>Overall Acceptablity</c:v>
                </c:pt>
              </c:strCache>
            </c:strRef>
          </c:cat>
          <c:val>
            <c:numRef>
              <c:f>Sensory!$AC$3:$AC$8</c:f>
              <c:numCache>
                <c:formatCode>General</c:formatCode>
                <c:ptCount val="6"/>
                <c:pt idx="0">
                  <c:v>6.4</c:v>
                </c:pt>
                <c:pt idx="1">
                  <c:v>6.7</c:v>
                </c:pt>
                <c:pt idx="2">
                  <c:v>6.3</c:v>
                </c:pt>
                <c:pt idx="3">
                  <c:v>6.6</c:v>
                </c:pt>
                <c:pt idx="4">
                  <c:v>6.3</c:v>
                </c:pt>
                <c:pt idx="5">
                  <c:v>6.5</c:v>
                </c:pt>
              </c:numCache>
            </c:numRef>
          </c:val>
          <c:extLst>
            <c:ext xmlns:c16="http://schemas.microsoft.com/office/drawing/2014/chart" uri="{C3380CC4-5D6E-409C-BE32-E72D297353CC}">
              <c16:uniqueId val="{00000003-38D5-4415-B991-A33E98EF2749}"/>
            </c:ext>
          </c:extLst>
        </c:ser>
        <c:dLbls>
          <c:showLegendKey val="0"/>
          <c:showVal val="0"/>
          <c:showCatName val="0"/>
          <c:showSerName val="0"/>
          <c:showPercent val="0"/>
          <c:showBubbleSize val="0"/>
        </c:dLbls>
        <c:axId val="1197316431"/>
        <c:axId val="1197329391"/>
      </c:radarChart>
      <c:catAx>
        <c:axId val="119731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329391"/>
        <c:crosses val="autoZero"/>
        <c:auto val="1"/>
        <c:lblAlgn val="ctr"/>
        <c:lblOffset val="100"/>
        <c:noMultiLvlLbl val="0"/>
      </c:catAx>
      <c:valAx>
        <c:axId val="1197329391"/>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3164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Luxcika sunthararaja</dc:creator>
  <cp:keywords/>
  <dc:description/>
  <cp:lastModifiedBy>Luxcika sunthararaja</cp:lastModifiedBy>
  <cp:revision>17</cp:revision>
  <dcterms:created xsi:type="dcterms:W3CDTF">2025-12-30T19:16:00Z</dcterms:created>
  <dcterms:modified xsi:type="dcterms:W3CDTF">2025-12-31T16:45:00Z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db5b33ba-3926-4095-b003-bce5b3e77393</vt:lpwstr>
  </property>
</Properties>
</file>